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bookmarkStart w:id="0" w:name="_GoBack"/>
      <w:bookmarkEnd w:id="0"/>
      <w:r>
        <w:rPr>
          <w:color w:val="0081C6" w:themeColor="accent1"/>
          <w:spacing w:val="-10"/>
          <w:kern w:val="28"/>
        </w:rPr>
        <w:t>瞭解維多利亞州兒童安全標準</w:t>
      </w:r>
    </w:p>
    <w:p w14:paraId="08A968FE" w14:textId="177670A8" w:rsidR="00E14800" w:rsidRPr="00E14800" w:rsidRDefault="00E14800" w:rsidP="00E14800">
      <w:pPr>
        <w:pStyle w:val="CCYPNumberedListIndent"/>
      </w:pPr>
      <w:r>
        <w:t>兒童安全標準（以下簡稱「標準」）於</w:t>
      </w:r>
      <w:r>
        <w:t>2016</w:t>
      </w:r>
      <w:r>
        <w:t>年</w:t>
      </w:r>
      <w:r>
        <w:t>1</w:t>
      </w:r>
      <w:r>
        <w:t>月已開始在維多利亞州實施。自實施以來，我們已經見到該標準如何改善了兒童和青少年的安全。</w:t>
      </w:r>
      <w:r>
        <w:t xml:space="preserve"> </w:t>
      </w:r>
    </w:p>
    <w:p w14:paraId="662D9051" w14:textId="5DDA0AC8" w:rsidR="00E14800" w:rsidRPr="00E14800" w:rsidRDefault="00E14800" w:rsidP="00E14800">
      <w:pPr>
        <w:pStyle w:val="CCYPNumberedListIndent"/>
      </w:pPr>
      <w:r>
        <w:t>2022</w:t>
      </w:r>
      <w:r>
        <w:t>及</w:t>
      </w:r>
      <w:r>
        <w:t>2023</w:t>
      </w:r>
      <w:r>
        <w:t>年之更新更進一步加強了該標準。</w:t>
      </w:r>
      <w:r>
        <w:t xml:space="preserve"> </w:t>
      </w:r>
    </w:p>
    <w:p w14:paraId="7D066E88" w14:textId="767683BC" w:rsidR="00E14800" w:rsidRPr="00E14800" w:rsidRDefault="0053042F" w:rsidP="00E14800">
      <w:pPr>
        <w:pStyle w:val="CCYPNumberedListIndent"/>
      </w:pPr>
      <w:r>
        <w:t>自</w:t>
      </w:r>
      <w:r>
        <w:t>2022</w:t>
      </w:r>
      <w:r>
        <w:t>年</w:t>
      </w:r>
      <w:r>
        <w:t>7</w:t>
      </w:r>
      <w:r>
        <w:t>月</w:t>
      </w:r>
      <w:r>
        <w:t>1</w:t>
      </w:r>
      <w:r>
        <w:t>日起，需遵守該標準的機構都必須遵守</w:t>
      </w:r>
      <w:r>
        <w:t>11</w:t>
      </w:r>
      <w:r>
        <w:t>項新標準。</w:t>
      </w:r>
      <w:r w:rsidR="00E14800" w:rsidRPr="00E14800">
        <w:rPr>
          <w:vertAlign w:val="superscript"/>
        </w:rPr>
        <w:footnoteReference w:id="2"/>
      </w:r>
    </w:p>
    <w:p w14:paraId="6BD4044A" w14:textId="3CC70629" w:rsidR="00513B4B" w:rsidRDefault="00E14800" w:rsidP="00E14800">
      <w:pPr>
        <w:pStyle w:val="CCYPNumberedListIndent"/>
      </w:pPr>
      <w:r>
        <w:t>該</w:t>
      </w:r>
      <w:r>
        <w:t>11</w:t>
      </w:r>
      <w:r>
        <w:t>項標準制定了最低要求，並概述了機構為保障兒童和青少年安全所必須採取的措施。</w:t>
      </w:r>
      <w:r>
        <w:t xml:space="preserve"> </w:t>
      </w:r>
    </w:p>
    <w:p w14:paraId="7ACB41F3" w14:textId="3A442DEF" w:rsidR="00E14800" w:rsidRPr="00E14800" w:rsidRDefault="00E14800" w:rsidP="00E14800">
      <w:pPr>
        <w:pStyle w:val="CCYPNumberedListIndent"/>
      </w:pPr>
      <w:r>
        <w:t>這些標準為機構提供了更清晰的指南，與澳洲其他地區的標準更加一致。</w:t>
      </w:r>
    </w:p>
    <w:p w14:paraId="48C66CDC" w14:textId="7319347B" w:rsidR="00AD7206" w:rsidRDefault="00373C2D" w:rsidP="004E5612">
      <w:pPr>
        <w:pStyle w:val="CCYPNumberedListIndent"/>
        <w:spacing w:beforeLines="40" w:before="96" w:after="40"/>
      </w:pPr>
      <w:r>
        <w:t>該</w:t>
      </w:r>
      <w:r>
        <w:t>11</w:t>
      </w:r>
      <w:r>
        <w:t>項標準涵蓋以下特定要求：</w:t>
      </w:r>
    </w:p>
    <w:p w14:paraId="7F4B1F11" w14:textId="3F3779B7" w:rsidR="00AD7206" w:rsidRDefault="00AD7206" w:rsidP="004E5612">
      <w:pPr>
        <w:pStyle w:val="CCYPNumberedListIndent"/>
        <w:numPr>
          <w:ilvl w:val="0"/>
          <w:numId w:val="18"/>
        </w:numPr>
        <w:spacing w:beforeLines="40" w:before="96" w:after="40"/>
        <w:ind w:left="709" w:hanging="352"/>
      </w:pPr>
      <w:r>
        <w:t>讓家庭和社區參與，與機構共同努力保障兒童和青少年的安全</w:t>
      </w:r>
    </w:p>
    <w:p w14:paraId="7FF3D119" w14:textId="015A26D5" w:rsidR="00AD7206" w:rsidRDefault="00AD7206" w:rsidP="004E5612">
      <w:pPr>
        <w:pStyle w:val="CCYPNumberedListIndent"/>
        <w:numPr>
          <w:ilvl w:val="0"/>
          <w:numId w:val="18"/>
        </w:numPr>
        <w:spacing w:beforeLines="40" w:before="96" w:after="40"/>
        <w:ind w:left="709" w:hanging="352"/>
      </w:pPr>
      <w:r>
        <w:t>更加關注原住民兒童和青少年的安全</w:t>
      </w:r>
    </w:p>
    <w:p w14:paraId="47A9AB16" w14:textId="7A906163" w:rsidR="00AD7206" w:rsidRDefault="00AD7206" w:rsidP="004E5612">
      <w:pPr>
        <w:pStyle w:val="CCYPNumberedListIndent"/>
        <w:numPr>
          <w:ilvl w:val="0"/>
          <w:numId w:val="18"/>
        </w:numPr>
        <w:spacing w:beforeLines="40" w:before="96" w:after="40"/>
        <w:ind w:left="709" w:hanging="352"/>
      </w:pPr>
      <w:r>
        <w:t>管理在網路環境中虐待兒童的風險</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關於保障兒童和青少年安全的治理、系統和流程。</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各機構該做什麼？</w:t>
      </w:r>
    </w:p>
    <w:p w14:paraId="6114C34F" w14:textId="441C9BA9" w:rsidR="00A4441F" w:rsidRDefault="005E48A4" w:rsidP="00D01401">
      <w:pPr>
        <w:spacing w:beforeLines="40" w:before="96" w:after="40"/>
      </w:pPr>
      <w:r>
        <w:rPr>
          <w:b/>
        </w:rPr>
        <w:t>各機構必須遵守這</w:t>
      </w:r>
      <w:r>
        <w:rPr>
          <w:b/>
        </w:rPr>
        <w:t>11</w:t>
      </w:r>
      <w:r>
        <w:rPr>
          <w:b/>
        </w:rPr>
        <w:t>項標準</w:t>
      </w:r>
      <w:r w:rsidR="00A4441F">
        <w:t xml:space="preserve"> </w:t>
      </w:r>
    </w:p>
    <w:p w14:paraId="4940BB95" w14:textId="41C7FB1D" w:rsidR="00A4441F" w:rsidRDefault="005E48A4" w:rsidP="00A4441F">
      <w:pPr>
        <w:spacing w:beforeLines="40" w:before="96" w:after="40"/>
      </w:pPr>
      <w:r>
        <w:t>本委員會</w:t>
      </w:r>
      <w:hyperlink r:id="rId8" w:history="1">
        <w:r>
          <w:rPr>
            <w:rStyle w:val="Hyperlink"/>
          </w:rPr>
          <w:t>網站</w:t>
        </w:r>
      </w:hyperlink>
      <w:r>
        <w:t>提供眾多資源，幫助各機構瞭解及實施標準。</w:t>
      </w:r>
      <w:r>
        <w:t xml:space="preserve"> </w:t>
      </w:r>
    </w:p>
    <w:p w14:paraId="75B84303" w14:textId="0BA9821B" w:rsidR="001412C0" w:rsidRDefault="005E48A4">
      <w:pPr>
        <w:spacing w:beforeLines="40" w:before="96" w:after="40"/>
      </w:pPr>
      <w:r>
        <w:t>亦建議您</w:t>
      </w:r>
      <w:hyperlink r:id="rId9" w:history="1">
        <w:r>
          <w:rPr>
            <w:color w:val="0563C1" w:themeColor="hyperlink"/>
            <w:u w:val="single"/>
          </w:rPr>
          <w:t>點擊此處</w:t>
        </w:r>
      </w:hyperlink>
      <w:r>
        <w:t>訂閱電子郵件，即時接收委員會發佈之有助各機構遵守標準的新資訊和指南之通知。</w:t>
      </w:r>
      <w:r>
        <w:t xml:space="preserve"> </w:t>
      </w:r>
    </w:p>
    <w:p w14:paraId="49794316" w14:textId="36170886" w:rsidR="007150EF" w:rsidRPr="007150EF" w:rsidRDefault="001412C0" w:rsidP="00D01401">
      <w:pPr>
        <w:spacing w:beforeLines="40" w:before="96" w:after="40"/>
      </w:pPr>
      <w:r>
        <w:t>若機構未能遵守標準，委員會有權力採取行動。</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什麼是兒童安全標準？</w:t>
      </w:r>
    </w:p>
    <w:p w14:paraId="71B431C5" w14:textId="48930AB3" w:rsidR="00A7497A" w:rsidRDefault="00A7497A" w:rsidP="005A480F">
      <w:pPr>
        <w:pStyle w:val="ListParagraph"/>
        <w:keepNext/>
        <w:ind w:left="0"/>
        <w:rPr>
          <w:rFonts w:cs="Arial"/>
          <w:bCs/>
          <w:szCs w:val="22"/>
        </w:rPr>
      </w:pPr>
      <w:r>
        <w:t>11</w:t>
      </w:r>
      <w:r>
        <w:t>項兒童安全標準為：</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兒童安全標準</w:t>
      </w:r>
      <w:r>
        <w:rPr>
          <w:b/>
        </w:rPr>
        <w:t xml:space="preserve">1 – </w:t>
      </w:r>
      <w:r>
        <w:rPr>
          <w:b/>
        </w:rPr>
        <w:t>機構建立一個文化安全的環境，在該環境中，原住民兒童和青少年的多樣化和獨特身份及經歷受到尊重和重視</w:t>
      </w:r>
    </w:p>
    <w:p w14:paraId="40275FC1" w14:textId="77777777" w:rsidR="005A480F" w:rsidRPr="005A480F" w:rsidRDefault="005A480F" w:rsidP="005A480F">
      <w:pPr>
        <w:keepNext/>
        <w:ind w:left="357" w:hanging="357"/>
        <w:rPr>
          <w:rFonts w:cs="Arial"/>
          <w:b/>
          <w:i/>
          <w:iCs/>
          <w:szCs w:val="22"/>
        </w:rPr>
      </w:pPr>
      <w:r>
        <w:t>遵守兒童安全標準</w:t>
      </w:r>
      <w:r>
        <w:t>1</w:t>
      </w:r>
      <w:r>
        <w:t>，機構必須至少確保：</w:t>
      </w:r>
    </w:p>
    <w:p w14:paraId="41913D0A" w14:textId="77777777" w:rsidR="005A480F" w:rsidRPr="005A480F" w:rsidRDefault="005A480F" w:rsidP="005A480F">
      <w:pPr>
        <w:keepNext/>
        <w:spacing w:before="120"/>
        <w:ind w:left="357"/>
        <w:rPr>
          <w:rFonts w:cs="Arial"/>
          <w:szCs w:val="22"/>
        </w:rPr>
      </w:pPr>
      <w:r>
        <w:t xml:space="preserve">1.1 </w:t>
      </w:r>
      <w:r>
        <w:t>鼓勵並積極支持兒童表達其文化和享受其文化權利的能力。</w:t>
      </w:r>
    </w:p>
    <w:p w14:paraId="481333D6" w14:textId="77777777" w:rsidR="005A480F" w:rsidRPr="005A480F" w:rsidRDefault="005A480F" w:rsidP="005A480F">
      <w:pPr>
        <w:keepNext/>
        <w:ind w:left="357"/>
        <w:rPr>
          <w:rFonts w:cs="Arial"/>
          <w:szCs w:val="22"/>
        </w:rPr>
      </w:pPr>
      <w:r>
        <w:t xml:space="preserve">1.2 </w:t>
      </w:r>
      <w:r>
        <w:t>機構內部制定各種策略，使所有成員能夠認同並欣賞原住民文化的優勢，並瞭解原住民文化對原住民兒童和青少年福祉和安全的重要性。</w:t>
      </w:r>
    </w:p>
    <w:p w14:paraId="76EB05F8" w14:textId="77777777" w:rsidR="005A480F" w:rsidRPr="005A480F" w:rsidRDefault="005A480F" w:rsidP="005A480F">
      <w:pPr>
        <w:keepNext/>
        <w:ind w:left="357"/>
        <w:rPr>
          <w:rFonts w:cs="Arial"/>
          <w:szCs w:val="22"/>
        </w:rPr>
      </w:pPr>
      <w:r>
        <w:t xml:space="preserve">1.3 </w:t>
      </w:r>
      <w:r>
        <w:t>機構採取措施來確保識別、正視且不姑息機構內的種族主義。任何種族主義事件都會予以處理並取得適當的結果。</w:t>
      </w:r>
      <w:r>
        <w:t xml:space="preserve"> </w:t>
      </w:r>
    </w:p>
    <w:p w14:paraId="09C2B000" w14:textId="77777777" w:rsidR="005A480F" w:rsidRPr="005A480F" w:rsidRDefault="005A480F" w:rsidP="005A480F">
      <w:pPr>
        <w:keepNext/>
        <w:ind w:left="357"/>
        <w:rPr>
          <w:rFonts w:cs="Arial"/>
          <w:i/>
          <w:iCs/>
          <w:szCs w:val="22"/>
        </w:rPr>
      </w:pPr>
      <w:r>
        <w:t xml:space="preserve">1.4 </w:t>
      </w:r>
      <w:r>
        <w:t>機構積極支持和促進原住民兒童、青少年及其家人的參與和融入。</w:t>
      </w:r>
    </w:p>
    <w:p w14:paraId="062BBBBB" w14:textId="77777777" w:rsidR="005A480F" w:rsidRPr="005A480F" w:rsidRDefault="005A480F" w:rsidP="00122835">
      <w:pPr>
        <w:keepNext/>
        <w:ind w:left="357"/>
        <w:jc w:val="both"/>
        <w:rPr>
          <w:rFonts w:cs="Arial"/>
          <w:szCs w:val="22"/>
        </w:rPr>
      </w:pPr>
      <w:r>
        <w:t xml:space="preserve">1.5 </w:t>
      </w:r>
      <w:r>
        <w:t>機構的所有政策、程序、系統和流程共同創造一個文化安全和包容的環境，並滿足原住民兒童、青少年及其家人的需求。</w:t>
      </w:r>
    </w:p>
    <w:p w14:paraId="5F6BE555" w14:textId="03F9D699" w:rsidR="005A480F" w:rsidRPr="00122835" w:rsidRDefault="005A480F" w:rsidP="00122835">
      <w:pPr>
        <w:pStyle w:val="ListParagraph"/>
        <w:keepNext/>
        <w:spacing w:before="240"/>
        <w:ind w:left="0"/>
        <w:rPr>
          <w:rFonts w:cs="Arial"/>
          <w:b/>
          <w:szCs w:val="22"/>
        </w:rPr>
      </w:pPr>
      <w:r>
        <w:rPr>
          <w:b/>
        </w:rPr>
        <w:t>兒童安全標準</w:t>
      </w:r>
      <w:r>
        <w:rPr>
          <w:b/>
        </w:rPr>
        <w:t xml:space="preserve"> 2 – </w:t>
      </w:r>
      <w:r>
        <w:rPr>
          <w:b/>
        </w:rPr>
        <w:t>兒童安全和福祉被納入機構的領導、治理和文化之中</w:t>
      </w:r>
    </w:p>
    <w:p w14:paraId="4949CA57" w14:textId="77777777" w:rsidR="005A480F" w:rsidRPr="000E68B6" w:rsidRDefault="005A480F" w:rsidP="005A480F">
      <w:pPr>
        <w:keepNext/>
        <w:rPr>
          <w:rFonts w:cs="Arial"/>
          <w:b/>
          <w:i/>
          <w:iCs/>
          <w:szCs w:val="22"/>
        </w:rPr>
      </w:pPr>
      <w:r>
        <w:t>遵守兒童安全標準</w:t>
      </w:r>
      <w:r>
        <w:t>2</w:t>
      </w:r>
      <w:r>
        <w:t>，機構必須至少確保：</w:t>
      </w:r>
    </w:p>
    <w:p w14:paraId="2EE44AFE" w14:textId="77777777" w:rsidR="005A480F" w:rsidRPr="005A480F" w:rsidRDefault="005A480F" w:rsidP="005A480F">
      <w:pPr>
        <w:keepNext/>
        <w:spacing w:before="120"/>
        <w:ind w:left="357"/>
        <w:rPr>
          <w:rFonts w:cs="Arial"/>
          <w:szCs w:val="22"/>
        </w:rPr>
      </w:pPr>
      <w:r>
        <w:t xml:space="preserve">2.1 </w:t>
      </w:r>
      <w:r>
        <w:t>機構對保障兒童安全作出公開承諾。</w:t>
      </w:r>
      <w:r>
        <w:t xml:space="preserve"> </w:t>
      </w:r>
    </w:p>
    <w:p w14:paraId="18BCD94B" w14:textId="68049C86" w:rsidR="005A480F" w:rsidRPr="005A480F" w:rsidRDefault="005A480F" w:rsidP="005A480F">
      <w:pPr>
        <w:keepNext/>
        <w:spacing w:before="120"/>
        <w:ind w:left="357"/>
        <w:rPr>
          <w:rFonts w:cs="Arial"/>
          <w:szCs w:val="22"/>
        </w:rPr>
      </w:pPr>
      <w:r>
        <w:t xml:space="preserve">2.2 </w:t>
      </w:r>
      <w:r>
        <w:t>兒童安全文化在機構的各個層面：由上而下和由下而上都得到倡導和標榜。</w:t>
      </w:r>
      <w:r>
        <w:t xml:space="preserve"> </w:t>
      </w:r>
    </w:p>
    <w:p w14:paraId="42602013" w14:textId="77777777" w:rsidR="005A480F" w:rsidRPr="005A480F" w:rsidRDefault="005A480F" w:rsidP="005A480F">
      <w:pPr>
        <w:keepNext/>
        <w:spacing w:before="120"/>
        <w:ind w:left="357"/>
        <w:rPr>
          <w:rFonts w:cs="Arial"/>
          <w:szCs w:val="22"/>
        </w:rPr>
      </w:pPr>
      <w:r>
        <w:t xml:space="preserve">2.3 </w:t>
      </w:r>
      <w:r>
        <w:t>治理安排上能促進在各級實施兒童安全和福祉政策。</w:t>
      </w:r>
      <w:r>
        <w:t xml:space="preserve"> </w:t>
      </w:r>
    </w:p>
    <w:p w14:paraId="38C3FBCF" w14:textId="1377877C" w:rsidR="005A480F" w:rsidRPr="005A480F" w:rsidRDefault="005A480F" w:rsidP="005A480F">
      <w:pPr>
        <w:keepNext/>
        <w:spacing w:before="120"/>
        <w:ind w:left="357"/>
        <w:rPr>
          <w:rFonts w:cs="Arial"/>
          <w:szCs w:val="22"/>
        </w:rPr>
      </w:pPr>
      <w:r>
        <w:t xml:space="preserve">2.4 </w:t>
      </w:r>
      <w:r>
        <w:t>「行為守則」為員工和志願者提供預期行為標準和責任的指導。</w:t>
      </w:r>
      <w:r>
        <w:t xml:space="preserve"> </w:t>
      </w:r>
    </w:p>
    <w:p w14:paraId="03B1EE09" w14:textId="77777777" w:rsidR="005A480F" w:rsidRPr="005A480F" w:rsidRDefault="005A480F" w:rsidP="005A480F">
      <w:pPr>
        <w:keepNext/>
        <w:spacing w:before="120"/>
        <w:ind w:left="357"/>
        <w:rPr>
          <w:rFonts w:cs="Arial"/>
          <w:szCs w:val="22"/>
        </w:rPr>
      </w:pPr>
      <w:r>
        <w:t xml:space="preserve">2.5 </w:t>
      </w:r>
      <w:r>
        <w:t>風險管理策略著重於預防、識別和減低兒童和青少年面臨的風險。</w:t>
      </w:r>
      <w:r>
        <w:t xml:space="preserve"> </w:t>
      </w:r>
    </w:p>
    <w:p w14:paraId="58030740" w14:textId="77777777" w:rsidR="005A480F" w:rsidRPr="005A480F" w:rsidRDefault="005A480F" w:rsidP="005A480F">
      <w:pPr>
        <w:keepNext/>
        <w:spacing w:before="120"/>
        <w:ind w:left="357"/>
        <w:rPr>
          <w:rFonts w:cs="Arial"/>
          <w:szCs w:val="22"/>
        </w:rPr>
      </w:pPr>
      <w:r>
        <w:t xml:space="preserve">2.6 </w:t>
      </w:r>
      <w:r>
        <w:t>員工和志願者瞭解自己在資訊共享和紀錄保存方面的義務。</w:t>
      </w:r>
      <w:r>
        <w:t xml:space="preserve"> </w:t>
      </w:r>
    </w:p>
    <w:p w14:paraId="76B5B1ED" w14:textId="77777777" w:rsidR="005A480F" w:rsidRPr="005A480F" w:rsidRDefault="005A480F" w:rsidP="00122835">
      <w:pPr>
        <w:pStyle w:val="ListParagraph"/>
        <w:keepNext/>
        <w:spacing w:before="240"/>
        <w:ind w:left="0"/>
        <w:rPr>
          <w:rFonts w:cs="Arial"/>
          <w:b/>
          <w:szCs w:val="22"/>
        </w:rPr>
      </w:pPr>
      <w:r>
        <w:rPr>
          <w:b/>
        </w:rPr>
        <w:t>兒童安全標準</w:t>
      </w:r>
      <w:r>
        <w:rPr>
          <w:b/>
        </w:rPr>
        <w:t xml:space="preserve"> 3 – </w:t>
      </w:r>
      <w:r>
        <w:rPr>
          <w:b/>
        </w:rPr>
        <w:t>兒童和青少年被賦予權利，參與對他們產生影響的決策，並得到重視</w:t>
      </w:r>
    </w:p>
    <w:p w14:paraId="3377D712" w14:textId="77777777" w:rsidR="005A480F" w:rsidRPr="005A480F" w:rsidRDefault="005A480F" w:rsidP="00122835">
      <w:pPr>
        <w:keepNext/>
        <w:ind w:left="357" w:hanging="357"/>
        <w:rPr>
          <w:rFonts w:cs="Arial"/>
          <w:szCs w:val="22"/>
        </w:rPr>
      </w:pPr>
      <w:r>
        <w:t>遵守兒童安全標準</w:t>
      </w:r>
      <w:r>
        <w:t>3</w:t>
      </w:r>
      <w:r>
        <w:t>，機構必須至少確保：</w:t>
      </w:r>
    </w:p>
    <w:p w14:paraId="17829EB0" w14:textId="77777777" w:rsidR="005A480F" w:rsidRPr="005A480F" w:rsidRDefault="005A480F" w:rsidP="00122835">
      <w:pPr>
        <w:keepNext/>
        <w:ind w:left="357"/>
        <w:rPr>
          <w:rFonts w:cs="Arial"/>
          <w:szCs w:val="22"/>
        </w:rPr>
      </w:pPr>
      <w:r>
        <w:t xml:space="preserve">3.1 </w:t>
      </w:r>
      <w:r>
        <w:t>兒童和青少年被告知自身所有的權利，包括安全、資訊和參與。</w:t>
      </w:r>
      <w:r>
        <w:t xml:space="preserve"> </w:t>
      </w:r>
    </w:p>
    <w:p w14:paraId="0F7399B8" w14:textId="77777777" w:rsidR="005A480F" w:rsidRPr="005A480F" w:rsidRDefault="005A480F" w:rsidP="005A480F">
      <w:pPr>
        <w:keepNext/>
        <w:ind w:left="357"/>
        <w:rPr>
          <w:rFonts w:cs="Arial"/>
          <w:szCs w:val="22"/>
        </w:rPr>
      </w:pPr>
      <w:r>
        <w:t xml:space="preserve">3.2 </w:t>
      </w:r>
      <w:r>
        <w:t>認可友誼的重要性並鼓勵同儕的支持，幫助兒童和青少年感到安全並減輕孤立感。</w:t>
      </w:r>
    </w:p>
    <w:p w14:paraId="17156517" w14:textId="77777777" w:rsidR="005A480F" w:rsidRPr="005A480F" w:rsidRDefault="005A480F" w:rsidP="005A480F">
      <w:pPr>
        <w:keepNext/>
        <w:ind w:left="357"/>
        <w:rPr>
          <w:rFonts w:cs="Arial"/>
          <w:szCs w:val="22"/>
        </w:rPr>
      </w:pPr>
      <w:r>
        <w:t xml:space="preserve">3.3 </w:t>
      </w:r>
      <w:r>
        <w:t>在相關適宜的情況下，向兒童和青少年提供參加預防性虐待計劃的機會，並提供適合其年齡的相關資訊。</w:t>
      </w:r>
      <w:r>
        <w:t xml:space="preserve"> </w:t>
      </w:r>
    </w:p>
    <w:p w14:paraId="1B921ECE" w14:textId="77777777" w:rsidR="005A480F" w:rsidRPr="005A480F" w:rsidRDefault="005A480F" w:rsidP="005A480F">
      <w:pPr>
        <w:keepNext/>
        <w:ind w:left="357"/>
        <w:rPr>
          <w:rFonts w:cs="Arial"/>
          <w:szCs w:val="22"/>
        </w:rPr>
      </w:pPr>
      <w:r>
        <w:t xml:space="preserve">3.4 </w:t>
      </w:r>
      <w:r>
        <w:t>員工和志願者對危害兒童的跡象保持敏銳，並促進對兒童友好的環境來讓兒童和青少年表達自己的觀點、參與決策和提出問題。</w:t>
      </w:r>
    </w:p>
    <w:p w14:paraId="5A10BFE1" w14:textId="55B8688F" w:rsidR="005A480F" w:rsidRPr="005A480F" w:rsidRDefault="005A480F" w:rsidP="005A480F">
      <w:pPr>
        <w:keepNext/>
        <w:ind w:left="357"/>
        <w:rPr>
          <w:rFonts w:cs="Arial"/>
          <w:szCs w:val="22"/>
        </w:rPr>
      </w:pPr>
      <w:r>
        <w:t xml:space="preserve">3.5 </w:t>
      </w:r>
      <w:r>
        <w:t>機構制定策略來發展促進參與的文化，並對兒童和青少年的意見作出回應。</w:t>
      </w:r>
    </w:p>
    <w:p w14:paraId="68E56761" w14:textId="1AABA82D" w:rsidR="005A480F" w:rsidRPr="005A480F" w:rsidRDefault="005A480F" w:rsidP="005A480F">
      <w:pPr>
        <w:keepNext/>
        <w:ind w:left="357"/>
        <w:rPr>
          <w:rFonts w:cs="Arial"/>
          <w:szCs w:val="22"/>
        </w:rPr>
      </w:pPr>
      <w:r>
        <w:t xml:space="preserve">3.6 </w:t>
      </w:r>
      <w:r>
        <w:t>機構為兒童和青少年提供參與的機會並鼓勵他們作出貢獻，從而增強其信心和參與度。</w:t>
      </w:r>
    </w:p>
    <w:p w14:paraId="20CFADC3" w14:textId="77777777" w:rsidR="00122835" w:rsidRPr="00122835" w:rsidRDefault="00122835" w:rsidP="00122835">
      <w:pPr>
        <w:pStyle w:val="ListParagraph"/>
        <w:keepNext/>
        <w:spacing w:before="240"/>
        <w:ind w:left="0"/>
        <w:rPr>
          <w:rFonts w:cs="Arial"/>
          <w:b/>
          <w:szCs w:val="22"/>
        </w:rPr>
      </w:pPr>
      <w:r>
        <w:rPr>
          <w:b/>
        </w:rPr>
        <w:t>兒童安全標準</w:t>
      </w:r>
      <w:r>
        <w:rPr>
          <w:b/>
        </w:rPr>
        <w:t xml:space="preserve"> 4 – </w:t>
      </w:r>
      <w:r>
        <w:rPr>
          <w:b/>
        </w:rPr>
        <w:t>家庭和社區得以知情，共同促進兒童的安全和福祉</w:t>
      </w:r>
    </w:p>
    <w:p w14:paraId="5A49C7C9" w14:textId="77777777" w:rsidR="00122835" w:rsidRPr="000E68B6" w:rsidRDefault="00122835" w:rsidP="00122835">
      <w:pPr>
        <w:keepNext/>
        <w:rPr>
          <w:rFonts w:cs="Arial"/>
          <w:b/>
          <w:i/>
          <w:iCs/>
          <w:szCs w:val="22"/>
        </w:rPr>
      </w:pPr>
      <w:r>
        <w:t>遵守兒童安全標準</w:t>
      </w:r>
      <w:r>
        <w:t>4</w:t>
      </w:r>
      <w:r>
        <w:t>，機構必須至少確保：</w:t>
      </w:r>
    </w:p>
    <w:p w14:paraId="5B8261D4" w14:textId="77777777" w:rsidR="00122835" w:rsidRPr="00122835" w:rsidRDefault="00122835" w:rsidP="00122835">
      <w:pPr>
        <w:keepNext/>
        <w:ind w:left="357"/>
        <w:rPr>
          <w:rFonts w:cs="Arial"/>
          <w:szCs w:val="22"/>
        </w:rPr>
      </w:pPr>
      <w:r>
        <w:t xml:space="preserve">4.1 </w:t>
      </w:r>
      <w:r>
        <w:t>家庭參與影響到其子女的決定。</w:t>
      </w:r>
      <w:r>
        <w:t xml:space="preserve"> </w:t>
      </w:r>
    </w:p>
    <w:p w14:paraId="165EB4E0" w14:textId="77777777" w:rsidR="00122835" w:rsidRPr="00122835" w:rsidRDefault="00122835" w:rsidP="00122835">
      <w:pPr>
        <w:keepNext/>
        <w:ind w:left="357"/>
        <w:rPr>
          <w:rFonts w:cs="Arial"/>
          <w:szCs w:val="22"/>
        </w:rPr>
      </w:pPr>
      <w:r>
        <w:t xml:space="preserve">4.2 </w:t>
      </w:r>
      <w:r>
        <w:t>機構就其保障兒童安全的措施與家庭和社區進行合作和坦誠交流，並提供相關資訊。</w:t>
      </w:r>
      <w:r>
        <w:t xml:space="preserve"> </w:t>
      </w:r>
    </w:p>
    <w:p w14:paraId="23CBBCE8" w14:textId="77777777" w:rsidR="00122835" w:rsidRPr="00122835" w:rsidRDefault="00122835" w:rsidP="00122835">
      <w:pPr>
        <w:keepNext/>
        <w:ind w:left="357"/>
        <w:rPr>
          <w:rFonts w:cs="Arial"/>
          <w:szCs w:val="22"/>
        </w:rPr>
      </w:pPr>
      <w:r>
        <w:t xml:space="preserve">4.3 </w:t>
      </w:r>
      <w:r>
        <w:t>家庭和社區在制定和審查該機構的政策和做法時有發言權。</w:t>
      </w:r>
      <w:r>
        <w:t xml:space="preserve"> </w:t>
      </w:r>
    </w:p>
    <w:p w14:paraId="5466A683" w14:textId="77777777" w:rsidR="00122835" w:rsidRPr="00122835" w:rsidRDefault="00122835" w:rsidP="00122835">
      <w:pPr>
        <w:keepNext/>
        <w:ind w:left="357"/>
        <w:rPr>
          <w:rFonts w:cs="Arial"/>
          <w:szCs w:val="22"/>
        </w:rPr>
      </w:pPr>
      <w:r>
        <w:t xml:space="preserve">4.4 </w:t>
      </w:r>
      <w:r>
        <w:t>家庭、照顧者和社區瞭解機構的運作和管理情況。</w:t>
      </w:r>
      <w:r>
        <w:t xml:space="preserve"> </w:t>
      </w:r>
    </w:p>
    <w:p w14:paraId="14E89CDF" w14:textId="72B25AB8" w:rsidR="00C06E1A" w:rsidRPr="00C06E1A" w:rsidRDefault="00C06E1A" w:rsidP="00C06E1A">
      <w:pPr>
        <w:pStyle w:val="ListParagraph"/>
        <w:keepNext/>
        <w:spacing w:before="240"/>
        <w:ind w:left="0"/>
        <w:rPr>
          <w:rFonts w:cs="Arial"/>
          <w:b/>
          <w:szCs w:val="22"/>
        </w:rPr>
      </w:pPr>
      <w:bookmarkStart w:id="1" w:name="_Hlk18398001"/>
      <w:r>
        <w:rPr>
          <w:b/>
        </w:rPr>
        <w:t>兒童安全標準</w:t>
      </w:r>
      <w:r w:rsidR="00E40FDC">
        <w:rPr>
          <w:rFonts w:eastAsia="Arial Unicode MS" w:hint="eastAsia"/>
          <w:b/>
        </w:rPr>
        <w:t xml:space="preserve"> </w:t>
      </w:r>
      <w:r>
        <w:rPr>
          <w:b/>
        </w:rPr>
        <w:t xml:space="preserve">5 – </w:t>
      </w:r>
      <w:r>
        <w:rPr>
          <w:b/>
        </w:rPr>
        <w:t>在政策和實踐中維護公平並尊重多樣化的需求</w:t>
      </w:r>
    </w:p>
    <w:p w14:paraId="3AD6C22C" w14:textId="452DE8D7" w:rsidR="00C06E1A" w:rsidRPr="0072196D" w:rsidRDefault="00C06E1A" w:rsidP="00C06E1A">
      <w:pPr>
        <w:keepNext/>
        <w:rPr>
          <w:rFonts w:cs="Arial"/>
          <w:szCs w:val="22"/>
        </w:rPr>
      </w:pPr>
      <w:r>
        <w:t>遵守兒童安全標準</w:t>
      </w:r>
      <w:r>
        <w:t>5</w:t>
      </w:r>
      <w:r>
        <w:t>，機構必須至少確保：</w:t>
      </w:r>
    </w:p>
    <w:p w14:paraId="4FB2E827" w14:textId="77777777" w:rsidR="00C06E1A" w:rsidRPr="00C06E1A" w:rsidRDefault="00C06E1A" w:rsidP="00C06E1A">
      <w:pPr>
        <w:keepNext/>
        <w:ind w:left="357"/>
        <w:rPr>
          <w:rFonts w:cs="Arial"/>
          <w:szCs w:val="22"/>
        </w:rPr>
      </w:pPr>
      <w:r>
        <w:t xml:space="preserve">5.1 </w:t>
      </w:r>
      <w:r>
        <w:t>包括其員工和志願者在內，機構全體瞭解兒童和青少年的各種不同情況，並支持和回應弱勢群體。</w:t>
      </w:r>
    </w:p>
    <w:p w14:paraId="7B8A87C9" w14:textId="77777777" w:rsidR="00C06E1A" w:rsidRPr="00C06E1A" w:rsidRDefault="00C06E1A" w:rsidP="00C06E1A">
      <w:pPr>
        <w:keepNext/>
        <w:ind w:left="357"/>
        <w:rPr>
          <w:rFonts w:cs="Arial"/>
          <w:szCs w:val="22"/>
        </w:rPr>
      </w:pPr>
      <w:r>
        <w:t xml:space="preserve">5.2 </w:t>
      </w:r>
      <w:r>
        <w:t>兒童和青少年能夠以文化安全、無障礙和易於理解的方式獲取資訊、支持和進行投訴程序。</w:t>
      </w:r>
    </w:p>
    <w:p w14:paraId="60440D62" w14:textId="77777777" w:rsidR="00C06E1A" w:rsidRPr="00C06E1A" w:rsidRDefault="00C06E1A" w:rsidP="00C06E1A">
      <w:pPr>
        <w:keepNext/>
        <w:ind w:left="357"/>
        <w:rPr>
          <w:rFonts w:cs="Arial"/>
          <w:szCs w:val="22"/>
        </w:rPr>
      </w:pPr>
      <w:r>
        <w:t xml:space="preserve">5.3 </w:t>
      </w:r>
      <w:r>
        <w:t>機構特別關注殘疾兒童和青少年、來自不同文化和語言背景的兒童和青少年、無法在家生活的人及女同性戀、男同性戀、雙性戀、跨性別和雙性兒童和青少年的需求。</w:t>
      </w:r>
      <w:r>
        <w:t xml:space="preserve"> </w:t>
      </w:r>
    </w:p>
    <w:p w14:paraId="106D5B5F" w14:textId="7CCABCDC" w:rsidR="00C06E1A" w:rsidRPr="00C06E1A" w:rsidRDefault="00C06E1A" w:rsidP="00C06E1A">
      <w:pPr>
        <w:keepNext/>
        <w:ind w:left="357"/>
        <w:rPr>
          <w:rFonts w:cs="Arial"/>
          <w:szCs w:val="22"/>
        </w:rPr>
      </w:pPr>
      <w:r>
        <w:t xml:space="preserve">5.4 </w:t>
      </w:r>
      <w:r>
        <w:t>機構特別關注原住民兒童和青少年的需求，並為他們提供</w:t>
      </w:r>
      <w:r>
        <w:t>/</w:t>
      </w:r>
      <w:r>
        <w:t>促進文化安全的環境。</w:t>
      </w:r>
      <w:r>
        <w:t xml:space="preserve"> </w:t>
      </w:r>
    </w:p>
    <w:bookmarkEnd w:id="1"/>
    <w:p w14:paraId="7AD09E20" w14:textId="77777777" w:rsidR="0072196D" w:rsidRPr="0072196D" w:rsidRDefault="0072196D" w:rsidP="0072196D">
      <w:pPr>
        <w:pStyle w:val="ListParagraph"/>
        <w:keepNext/>
        <w:spacing w:before="240"/>
        <w:ind w:left="0"/>
        <w:rPr>
          <w:rFonts w:cs="Arial"/>
          <w:b/>
          <w:szCs w:val="22"/>
        </w:rPr>
      </w:pPr>
      <w:r>
        <w:rPr>
          <w:b/>
        </w:rPr>
        <w:t>兒童安全標準</w:t>
      </w:r>
      <w:r>
        <w:rPr>
          <w:b/>
        </w:rPr>
        <w:t xml:space="preserve"> 6 – </w:t>
      </w:r>
      <w:r>
        <w:rPr>
          <w:b/>
        </w:rPr>
        <w:t>與兒童和青少年一起工作的人員是適合人選，並得到支持，可在實踐中體現兒童安全和福祉的價值</w:t>
      </w:r>
    </w:p>
    <w:p w14:paraId="304F33DA" w14:textId="596E7A37" w:rsidR="0072196D" w:rsidRDefault="0072196D" w:rsidP="0072196D">
      <w:pPr>
        <w:keepNext/>
        <w:rPr>
          <w:rFonts w:cs="Arial"/>
          <w:szCs w:val="22"/>
        </w:rPr>
      </w:pPr>
      <w:r>
        <w:t>遵守兒童安全標準</w:t>
      </w:r>
      <w:r>
        <w:t>6</w:t>
      </w:r>
      <w:r>
        <w:t>，機構必須至少確保：</w:t>
      </w:r>
    </w:p>
    <w:p w14:paraId="69850058" w14:textId="77777777" w:rsidR="0072196D" w:rsidRPr="0072196D" w:rsidRDefault="0072196D" w:rsidP="00E82B15">
      <w:pPr>
        <w:keepNext/>
        <w:ind w:left="357"/>
        <w:rPr>
          <w:rFonts w:cs="Arial"/>
          <w:szCs w:val="22"/>
        </w:rPr>
      </w:pPr>
      <w:r>
        <w:t xml:space="preserve">6.1 </w:t>
      </w:r>
      <w:r>
        <w:t>招聘全程（包括廣告、推薦人檢查及員工和志願者就業前篩查）都強調兒童的安全和福祉。</w:t>
      </w:r>
      <w:r>
        <w:t xml:space="preserve"> </w:t>
      </w:r>
    </w:p>
    <w:p w14:paraId="5DFC1DFF" w14:textId="77777777" w:rsidR="0072196D" w:rsidRPr="0072196D" w:rsidRDefault="0072196D" w:rsidP="00E82B15">
      <w:pPr>
        <w:keepNext/>
        <w:ind w:left="357"/>
        <w:rPr>
          <w:rFonts w:cs="Arial"/>
          <w:szCs w:val="22"/>
        </w:rPr>
      </w:pPr>
      <w:r>
        <w:t xml:space="preserve">6.2 </w:t>
      </w:r>
      <w:r>
        <w:t>相關員工和志願者持有仍然有效的兒童工作許可證或同等背景檢查。</w:t>
      </w:r>
      <w:r>
        <w:t xml:space="preserve">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w:t>
      </w:r>
      <w:r>
        <w:t>所有員工和志願者都接受適當的入職培訓，並瞭解自己對兒童和青少年的責任，包括紀錄保存、資訊共享和通報義務。</w:t>
      </w:r>
      <w:r>
        <w:t xml:space="preserve"> </w:t>
      </w:r>
    </w:p>
    <w:p w14:paraId="13A6CF6F" w14:textId="7FA06D07" w:rsidR="005A480F" w:rsidRPr="00E82B15" w:rsidRDefault="0072196D" w:rsidP="00E82B15">
      <w:pPr>
        <w:keepNext/>
        <w:ind w:left="357"/>
        <w:rPr>
          <w:rFonts w:cs="Arial"/>
          <w:szCs w:val="22"/>
        </w:rPr>
      </w:pPr>
      <w:r>
        <w:t xml:space="preserve">6.4 </w:t>
      </w:r>
      <w:r>
        <w:t>持續的監督和人事管理都以兒童安全和福祉為重點。</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兒童安全標準</w:t>
      </w:r>
      <w:r>
        <w:rPr>
          <w:b/>
        </w:rPr>
        <w:t xml:space="preserve"> 7 – </w:t>
      </w:r>
      <w:r>
        <w:rPr>
          <w:b/>
        </w:rPr>
        <w:t>投訴和關注程序以兒童為中心</w:t>
      </w:r>
    </w:p>
    <w:p w14:paraId="19BA3DDC" w14:textId="77777777" w:rsidR="00D31A50" w:rsidRPr="000E68B6" w:rsidRDefault="00D31A50" w:rsidP="00D31A50">
      <w:pPr>
        <w:keepNext/>
        <w:spacing w:before="240"/>
        <w:rPr>
          <w:rFonts w:cs="Arial"/>
          <w:b/>
          <w:i/>
          <w:iCs/>
          <w:szCs w:val="22"/>
        </w:rPr>
      </w:pPr>
      <w:r>
        <w:t>遵守兒童安全標準</w:t>
      </w:r>
      <w:r>
        <w:t>7</w:t>
      </w:r>
      <w:r>
        <w:t>，機構必須至少確保：</w:t>
      </w:r>
    </w:p>
    <w:p w14:paraId="18E3DF44" w14:textId="77777777" w:rsidR="00D31A50" w:rsidRPr="00D31A50" w:rsidRDefault="00D31A50" w:rsidP="00D31A50">
      <w:pPr>
        <w:keepNext/>
        <w:ind w:left="357"/>
        <w:rPr>
          <w:rFonts w:cs="Arial"/>
          <w:szCs w:val="22"/>
        </w:rPr>
      </w:pPr>
      <w:r>
        <w:t xml:space="preserve">7.1 </w:t>
      </w:r>
      <w:r>
        <w:t>機構具備一個易於使用的、以兒童為中心的投訴處理政策，該政策清楚地概述了領導層、員工和志願者的角色和職責、處理不同類型投訴的方法、違反相關政策或行為守則的情況及採取行動和通報的義務。</w:t>
      </w:r>
      <w:r>
        <w:t xml:space="preserve"> </w:t>
      </w:r>
    </w:p>
    <w:p w14:paraId="03F41168" w14:textId="77777777" w:rsidR="00D31A50" w:rsidRPr="00D31A50" w:rsidRDefault="00D31A50" w:rsidP="00D31A50">
      <w:pPr>
        <w:keepNext/>
        <w:ind w:left="357"/>
        <w:rPr>
          <w:rFonts w:cs="Arial"/>
          <w:szCs w:val="22"/>
        </w:rPr>
      </w:pPr>
      <w:r>
        <w:t xml:space="preserve">7.2 </w:t>
      </w:r>
      <w:r>
        <w:t>兒童和青少年、家庭、員工和志願者理解的有效投訴處理流程，並且該流程在文化上是安全的。</w:t>
      </w:r>
      <w:r>
        <w:t xml:space="preserve"> </w:t>
      </w:r>
    </w:p>
    <w:p w14:paraId="222ACA99" w14:textId="77777777" w:rsidR="00D31A50" w:rsidRPr="00D31A50" w:rsidRDefault="00D31A50" w:rsidP="00D31A50">
      <w:pPr>
        <w:keepNext/>
        <w:ind w:left="357"/>
        <w:rPr>
          <w:rFonts w:cs="Arial"/>
          <w:szCs w:val="22"/>
        </w:rPr>
      </w:pPr>
      <w:r>
        <w:t xml:space="preserve">7.3 </w:t>
      </w:r>
      <w:r>
        <w:t>投訴得到認真對待，並得到迅速、完善的回應。</w:t>
      </w:r>
    </w:p>
    <w:p w14:paraId="64530915" w14:textId="77777777" w:rsidR="00D31A50" w:rsidRPr="00D31A50" w:rsidRDefault="00D31A50" w:rsidP="00D31A50">
      <w:pPr>
        <w:keepNext/>
        <w:ind w:left="357"/>
        <w:rPr>
          <w:rFonts w:cs="Arial"/>
          <w:szCs w:val="22"/>
        </w:rPr>
      </w:pPr>
      <w:r>
        <w:t xml:space="preserve">7.4 </w:t>
      </w:r>
      <w:r>
        <w:t>機構具備處理向相關主管機關通報投訴和問題的政策和程序（無論法律是否要求通報）並與執法部門合作。</w:t>
      </w:r>
      <w:r>
        <w:t xml:space="preserve"> </w:t>
      </w:r>
    </w:p>
    <w:p w14:paraId="1AD0338F" w14:textId="77777777" w:rsidR="00D31A50" w:rsidRPr="00D31A50" w:rsidRDefault="00D31A50" w:rsidP="00D31A50">
      <w:pPr>
        <w:keepNext/>
        <w:ind w:left="357"/>
        <w:rPr>
          <w:rFonts w:cs="Arial"/>
          <w:szCs w:val="22"/>
        </w:rPr>
      </w:pPr>
      <w:r>
        <w:t xml:space="preserve">7.5 </w:t>
      </w:r>
      <w:r>
        <w:t>履行通報、隱私和就業法義務。</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兒童安全標準</w:t>
      </w:r>
      <w:r>
        <w:rPr>
          <w:b/>
        </w:rPr>
        <w:t xml:space="preserve"> 8 – </w:t>
      </w:r>
      <w:r>
        <w:rPr>
          <w:b/>
        </w:rPr>
        <w:t>員工和志願者具備知識、技能和意識，透過持續的教育和培訓保障兒童和青少年的安全</w:t>
      </w:r>
    </w:p>
    <w:p w14:paraId="522DCCDA" w14:textId="77777777" w:rsidR="00112854" w:rsidRPr="00112854" w:rsidRDefault="00112854" w:rsidP="000B6FBC">
      <w:pPr>
        <w:keepNext/>
        <w:rPr>
          <w:rFonts w:cs="Arial"/>
          <w:b/>
          <w:i/>
          <w:iCs/>
          <w:szCs w:val="22"/>
        </w:rPr>
      </w:pPr>
      <w:r>
        <w:t>遵守兒童安全標準</w:t>
      </w:r>
      <w:r>
        <w:t>8</w:t>
      </w:r>
      <w:r>
        <w:t>，機構必須至少確保：</w:t>
      </w:r>
    </w:p>
    <w:p w14:paraId="4218A382" w14:textId="77777777" w:rsidR="00112854" w:rsidRPr="00112854" w:rsidRDefault="00112854" w:rsidP="00112854">
      <w:pPr>
        <w:keepNext/>
        <w:ind w:left="357"/>
        <w:rPr>
          <w:rFonts w:cs="Arial"/>
          <w:szCs w:val="22"/>
        </w:rPr>
      </w:pPr>
      <w:r>
        <w:t xml:space="preserve">8.1 </w:t>
      </w:r>
      <w:r>
        <w:t>員工和志願者經過培訓並得到支持，有效地實施機構的兒童安全和福祉政策。</w:t>
      </w:r>
      <w:r>
        <w:t xml:space="preserve"> </w:t>
      </w:r>
    </w:p>
    <w:p w14:paraId="73D94854" w14:textId="77777777" w:rsidR="00112854" w:rsidRPr="00112854" w:rsidRDefault="00112854" w:rsidP="00112854">
      <w:pPr>
        <w:keepNext/>
        <w:ind w:left="357"/>
        <w:rPr>
          <w:rFonts w:cs="Arial"/>
          <w:szCs w:val="22"/>
        </w:rPr>
      </w:pPr>
      <w:r>
        <w:t xml:space="preserve">8.2 </w:t>
      </w:r>
      <w:r>
        <w:t>員工和志願者接受培訓和教育，以識別包括由其他兒童和青少年造成的傷害在內的兒童傷害指標。</w:t>
      </w:r>
      <w:r>
        <w:t xml:space="preserve"> </w:t>
      </w:r>
    </w:p>
    <w:p w14:paraId="5796294C" w14:textId="77777777" w:rsidR="00112854" w:rsidRPr="00112854" w:rsidRDefault="00112854" w:rsidP="00112854">
      <w:pPr>
        <w:keepNext/>
        <w:ind w:left="357"/>
        <w:rPr>
          <w:rFonts w:cs="Arial"/>
          <w:szCs w:val="22"/>
        </w:rPr>
      </w:pPr>
      <w:r>
        <w:t xml:space="preserve">8.3 </w:t>
      </w:r>
      <w:r>
        <w:t>員工和志願者接受培訓和教育，有效地應對兒童安全和福祉問題，並為披露傷害事情的同事提供支持。</w:t>
      </w:r>
    </w:p>
    <w:p w14:paraId="44B520FC" w14:textId="77777777" w:rsidR="00112854" w:rsidRPr="00112854" w:rsidRDefault="00112854" w:rsidP="00112854">
      <w:pPr>
        <w:keepNext/>
        <w:ind w:left="357"/>
        <w:rPr>
          <w:rFonts w:cs="Arial"/>
          <w:szCs w:val="22"/>
        </w:rPr>
      </w:pPr>
      <w:r>
        <w:t xml:space="preserve">8.4 </w:t>
      </w:r>
      <w:r>
        <w:t>員工和志願者接受有關如何為兒童和青少年營造文化安全環境的培訓和教育。</w:t>
      </w:r>
      <w:r>
        <w:t xml:space="preserve">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兒童安全標準</w:t>
      </w:r>
      <w:r>
        <w:rPr>
          <w:b/>
        </w:rPr>
        <w:t xml:space="preserve">9 – </w:t>
      </w:r>
      <w:r>
        <w:rPr>
          <w:b/>
        </w:rPr>
        <w:t>促進現實和網路環境的安全和福祉，同時盡量減少兒童和青少年受到傷害的機會</w:t>
      </w:r>
    </w:p>
    <w:p w14:paraId="7CD683E8" w14:textId="77777777" w:rsidR="005B1DCA" w:rsidRPr="000E68B6" w:rsidRDefault="005B1DCA" w:rsidP="005B1DCA">
      <w:pPr>
        <w:keepNext/>
        <w:rPr>
          <w:rFonts w:cs="Arial"/>
          <w:b/>
          <w:i/>
          <w:iCs/>
          <w:szCs w:val="22"/>
        </w:rPr>
      </w:pPr>
      <w:r>
        <w:t>遵守兒童安全標準</w:t>
      </w:r>
      <w:r>
        <w:t>9</w:t>
      </w:r>
      <w:r>
        <w:t>，機構必須至少確保：</w:t>
      </w:r>
    </w:p>
    <w:p w14:paraId="4C8F55A4" w14:textId="77777777" w:rsidR="005B1DCA" w:rsidRPr="005B1DCA" w:rsidRDefault="005B1DCA" w:rsidP="005B1DCA">
      <w:pPr>
        <w:keepNext/>
        <w:ind w:left="357"/>
        <w:rPr>
          <w:rFonts w:cs="Arial"/>
          <w:szCs w:val="22"/>
        </w:rPr>
      </w:pPr>
      <w:r>
        <w:t xml:space="preserve">9.1 </w:t>
      </w:r>
      <w:r>
        <w:t>員工和志願者在不影響兒童的隱私權、獲取資訊的權利、社會聯繫和學習機會的情況下，識別和減少網路和現實環境中的風險。</w:t>
      </w:r>
      <w:r>
        <w:t xml:space="preserve"> </w:t>
      </w:r>
    </w:p>
    <w:p w14:paraId="5D0089A1" w14:textId="77777777" w:rsidR="005B1DCA" w:rsidRPr="005B1DCA" w:rsidRDefault="005B1DCA" w:rsidP="005B1DCA">
      <w:pPr>
        <w:keepNext/>
        <w:ind w:left="357"/>
        <w:rPr>
          <w:rFonts w:cs="Arial"/>
          <w:szCs w:val="22"/>
        </w:rPr>
      </w:pPr>
      <w:r>
        <w:t xml:space="preserve">9.2 </w:t>
      </w:r>
      <w:r>
        <w:t>網路環境的使用應遵循機構的「行為守則」及兒童安全和福祉政策和做法。</w:t>
      </w:r>
      <w:r>
        <w:t xml:space="preserve"> </w:t>
      </w:r>
    </w:p>
    <w:p w14:paraId="1AF7945B" w14:textId="77777777" w:rsidR="005B1DCA" w:rsidRPr="005B1DCA" w:rsidRDefault="005B1DCA" w:rsidP="005B1DCA">
      <w:pPr>
        <w:keepNext/>
        <w:ind w:left="357"/>
        <w:rPr>
          <w:rFonts w:cs="Arial"/>
          <w:szCs w:val="22"/>
        </w:rPr>
      </w:pPr>
      <w:r>
        <w:t xml:space="preserve">9.3 </w:t>
      </w:r>
      <w:r>
        <w:t>風險管理計劃應考慮由機構環境、活動和現實環境構成的風險。</w:t>
      </w:r>
      <w:r>
        <w:t xml:space="preserve"> </w:t>
      </w:r>
    </w:p>
    <w:p w14:paraId="3FAD2DF5" w14:textId="56EB6FAB" w:rsidR="005B1DCA" w:rsidRPr="005B1DCA" w:rsidRDefault="005B1DCA" w:rsidP="005B1DCA">
      <w:pPr>
        <w:keepNext/>
        <w:ind w:left="357"/>
        <w:rPr>
          <w:rFonts w:cs="Arial"/>
          <w:szCs w:val="22"/>
        </w:rPr>
      </w:pPr>
      <w:r>
        <w:t xml:space="preserve">9.4 </w:t>
      </w:r>
      <w:r>
        <w:t>與第三方簽訂設施和服務合約的機構應制定保障兒童和青少年安全的採購政策。</w:t>
      </w:r>
      <w:r>
        <w:t xml:space="preserve">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兒童安全標準</w:t>
      </w:r>
      <w:r>
        <w:rPr>
          <w:b/>
        </w:rPr>
        <w:t xml:space="preserve"> 10 – </w:t>
      </w:r>
      <w:r>
        <w:rPr>
          <w:b/>
        </w:rPr>
        <w:t>定期審查和改進兒童安全標準的執行情況</w:t>
      </w:r>
    </w:p>
    <w:p w14:paraId="0DAED112" w14:textId="77777777" w:rsidR="005B1DCA" w:rsidRPr="005B1DCA" w:rsidRDefault="005B1DCA" w:rsidP="005B1DCA">
      <w:pPr>
        <w:keepNext/>
        <w:rPr>
          <w:rFonts w:cs="Arial"/>
          <w:b/>
          <w:i/>
          <w:iCs/>
          <w:szCs w:val="22"/>
        </w:rPr>
      </w:pPr>
      <w:r>
        <w:t>遵守兒童安全標準</w:t>
      </w:r>
      <w:r>
        <w:t>10</w:t>
      </w:r>
      <w:r>
        <w:t>，機構必須至少確保：</w:t>
      </w:r>
    </w:p>
    <w:p w14:paraId="06974F92" w14:textId="77777777" w:rsidR="005B1DCA" w:rsidRPr="005B1DCA" w:rsidRDefault="005B1DCA" w:rsidP="005B1DCA">
      <w:pPr>
        <w:keepNext/>
        <w:ind w:left="357"/>
        <w:rPr>
          <w:rFonts w:cs="Arial"/>
          <w:szCs w:val="22"/>
        </w:rPr>
      </w:pPr>
      <w:r>
        <w:t xml:space="preserve">10.1 </w:t>
      </w:r>
      <w:r>
        <w:t>機構定期審查、評估和改進兒童安全實踐。</w:t>
      </w:r>
    </w:p>
    <w:p w14:paraId="6E43A80B" w14:textId="77777777" w:rsidR="005B1DCA" w:rsidRPr="005B1DCA" w:rsidRDefault="005B1DCA" w:rsidP="005B1DCA">
      <w:pPr>
        <w:keepNext/>
        <w:ind w:left="357"/>
        <w:rPr>
          <w:rFonts w:cs="Arial"/>
          <w:szCs w:val="22"/>
        </w:rPr>
      </w:pPr>
      <w:r>
        <w:t xml:space="preserve">10.2 </w:t>
      </w:r>
      <w:r>
        <w:t>對投訴、問題和安全事件進行分析，以確定原因和制度性問題，為持續改進提供依據。</w:t>
      </w:r>
      <w:r>
        <w:t xml:space="preserve"> </w:t>
      </w:r>
    </w:p>
    <w:p w14:paraId="442FD42C" w14:textId="77777777" w:rsidR="00A7497A" w:rsidRDefault="005B1DCA" w:rsidP="005B1DCA">
      <w:pPr>
        <w:keepNext/>
        <w:ind w:left="357"/>
        <w:rPr>
          <w:rFonts w:cs="Arial"/>
          <w:szCs w:val="22"/>
        </w:rPr>
      </w:pPr>
      <w:r>
        <w:t xml:space="preserve">10.3 </w:t>
      </w:r>
      <w:r>
        <w:t>機構向員工和志願者、社區和家庭以及兒童和青少年報告相關審查的結果。</w:t>
      </w:r>
      <w:r>
        <w:t xml:space="preserve">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t>兒童安全標準</w:t>
      </w:r>
      <w:r>
        <w:rPr>
          <w:b/>
        </w:rPr>
        <w:t xml:space="preserve"> 11 – </w:t>
      </w:r>
      <w:r>
        <w:rPr>
          <w:b/>
        </w:rPr>
        <w:t>政策和程序記錄機構如何保障兒童和青少年的安全</w:t>
      </w:r>
      <w:r>
        <w:rPr>
          <w:b/>
        </w:rPr>
        <w:t xml:space="preserve"> </w:t>
      </w:r>
    </w:p>
    <w:p w14:paraId="5DE9EF5D" w14:textId="77777777" w:rsidR="00A7497A" w:rsidRPr="00A7497A" w:rsidRDefault="00A7497A" w:rsidP="00A7497A">
      <w:pPr>
        <w:keepNext/>
        <w:rPr>
          <w:rFonts w:cs="Arial"/>
          <w:szCs w:val="22"/>
        </w:rPr>
      </w:pPr>
      <w:r>
        <w:t>遵守兒童安全標準</w:t>
      </w:r>
      <w:r>
        <w:t>11</w:t>
      </w:r>
      <w:r>
        <w:t>，機構必須至少確保：</w:t>
      </w:r>
    </w:p>
    <w:p w14:paraId="72909F52" w14:textId="77777777" w:rsidR="00A7497A" w:rsidRPr="00A7497A" w:rsidRDefault="00A7497A" w:rsidP="00A7497A">
      <w:pPr>
        <w:keepNext/>
        <w:spacing w:before="240"/>
        <w:ind w:left="357"/>
        <w:rPr>
          <w:rFonts w:cs="Arial"/>
          <w:szCs w:val="22"/>
        </w:rPr>
      </w:pPr>
      <w:r>
        <w:t xml:space="preserve">11.1 </w:t>
      </w:r>
      <w:r>
        <w:t>政策和程序涵蓋兒童安全標準的全部內容。</w:t>
      </w:r>
    </w:p>
    <w:p w14:paraId="0A488AB7" w14:textId="77777777" w:rsidR="00A7497A" w:rsidRPr="00A7497A" w:rsidRDefault="00A7497A" w:rsidP="00A7497A">
      <w:pPr>
        <w:keepNext/>
        <w:ind w:left="357"/>
        <w:rPr>
          <w:rFonts w:cs="Arial"/>
          <w:szCs w:val="22"/>
        </w:rPr>
      </w:pPr>
      <w:r>
        <w:t xml:space="preserve">11.2 </w:t>
      </w:r>
      <w:r>
        <w:t>政策和程序有文件紀錄，簡單易明。</w:t>
      </w:r>
      <w:r>
        <w:t xml:space="preserve"> </w:t>
      </w:r>
    </w:p>
    <w:p w14:paraId="0693AA64" w14:textId="77777777" w:rsidR="00A7497A" w:rsidRPr="00A7497A" w:rsidRDefault="00A7497A" w:rsidP="00A7497A">
      <w:pPr>
        <w:keepNext/>
        <w:ind w:left="357"/>
        <w:rPr>
          <w:rFonts w:cs="Arial"/>
          <w:szCs w:val="22"/>
        </w:rPr>
      </w:pPr>
      <w:r>
        <w:t xml:space="preserve">11.3 </w:t>
      </w:r>
      <w:r>
        <w:t>在制定政策和程序時參考最佳實踐模式和利益相關方的意見。</w:t>
      </w:r>
    </w:p>
    <w:p w14:paraId="1681082C" w14:textId="77777777" w:rsidR="00A7497A" w:rsidRPr="00A7497A" w:rsidRDefault="00A7497A" w:rsidP="00A7497A">
      <w:pPr>
        <w:keepNext/>
        <w:ind w:left="357"/>
        <w:rPr>
          <w:rFonts w:cs="Arial"/>
          <w:szCs w:val="22"/>
        </w:rPr>
      </w:pPr>
      <w:r>
        <w:t xml:space="preserve">11.4 </w:t>
      </w:r>
      <w:r>
        <w:t>領導者宣導遵守政策和程序，並以身作則。</w:t>
      </w:r>
      <w:r>
        <w:t xml:space="preserve"> </w:t>
      </w:r>
    </w:p>
    <w:p w14:paraId="35FE1615" w14:textId="77777777" w:rsidR="00A7497A" w:rsidRPr="00A7497A" w:rsidRDefault="00A7497A" w:rsidP="00A7497A">
      <w:pPr>
        <w:keepNext/>
        <w:ind w:left="357"/>
        <w:rPr>
          <w:rFonts w:cs="Arial"/>
          <w:szCs w:val="22"/>
        </w:rPr>
      </w:pPr>
      <w:r>
        <w:t xml:space="preserve">11.5 </w:t>
      </w:r>
      <w:r>
        <w:t>員工和志願者理解並執行政策和程序。</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6B768A22">
                <wp:simplePos x="0" y="0"/>
                <wp:positionH relativeFrom="column">
                  <wp:posOffset>-91440</wp:posOffset>
                </wp:positionH>
                <wp:positionV relativeFrom="paragraph">
                  <wp:posOffset>104140</wp:posOffset>
                </wp:positionV>
                <wp:extent cx="6505575" cy="3743325"/>
                <wp:effectExtent l="0" t="0" r="2857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505575" cy="37433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9A709E" id="Group 2" o:spid="_x0000_s1026" alt="Title: Background box - Description: graphic element only, does not contain information" style="position:absolute;margin-left:-7.2pt;margin-top:8.2pt;width:512.25pt;height:294.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如何獲得幫助</w:t>
      </w:r>
    </w:p>
    <w:p w14:paraId="1635748C" w14:textId="6D36CE06" w:rsidR="00513B4B" w:rsidRDefault="00A07245" w:rsidP="00513B4B">
      <w:pPr>
        <w:tabs>
          <w:tab w:val="left" w:pos="1110"/>
          <w:tab w:val="left" w:pos="7125"/>
        </w:tabs>
        <w:autoSpaceDE w:val="0"/>
        <w:autoSpaceDN w:val="0"/>
        <w:adjustRightInd w:val="0"/>
        <w:rPr>
          <w:rFonts w:ascii="Calibri" w:eastAsia="Calibri" w:hAnsi="Calibri" w:cs="Calibri"/>
          <w:szCs w:val="22"/>
          <w:u w:val="single"/>
        </w:rPr>
      </w:pPr>
      <w:r>
        <w:t>兒童安全標準監管機構和高峰或行業機構或可提供資訊和支持，幫助各機構遵守標準。委員會</w:t>
      </w:r>
      <w:hyperlink r:id="rId10" w:history="1">
        <w:r>
          <w:rPr>
            <w:rStyle w:val="Hyperlink"/>
          </w:rPr>
          <w:t>網站</w:t>
        </w:r>
      </w:hyperlink>
      <w:r>
        <w:t>提供不同兒童安全標準監管機構之概覽。</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如有問題或疑問，可聯絡委員會。</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eastAsia="Webdings" w:hAnsi="Webdings"/>
          <w:color w:val="0563C1"/>
          <w:sz w:val="36"/>
        </w:rPr>
        <w:sym w:font="Webdings" w:char="F0C5"/>
      </w:r>
      <w:r w:rsidRPr="00186D44">
        <w:rPr>
          <w:color w:val="0563C1"/>
          <w:sz w:val="36"/>
        </w:rPr>
        <w:tab/>
      </w:r>
      <w:r>
        <w:rPr>
          <w:color w:val="0563C1"/>
        </w:rPr>
        <w:t>電話：</w:t>
      </w:r>
      <w:r>
        <w:rPr>
          <w:color w:val="0563C1"/>
        </w:rPr>
        <w:t xml:space="preserve">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eastAsia="Webdings" w:hAnsi="Webdings"/>
          <w:color w:val="0563C1"/>
          <w:sz w:val="36"/>
        </w:rPr>
        <w:sym w:font="Webdings" w:char="F09A"/>
      </w:r>
      <w:r w:rsidRPr="00186D44">
        <w:rPr>
          <w:color w:val="0563C1"/>
        </w:rPr>
        <w:tab/>
      </w:r>
      <w:r>
        <w:rPr>
          <w:color w:val="0563C1"/>
        </w:rPr>
        <w:t>電郵：</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eastAsia="Webdings" w:hAnsi="Webdings"/>
          <w:color w:val="0563C1"/>
          <w:sz w:val="36"/>
        </w:rPr>
        <w:t></w:t>
      </w:r>
      <w:r w:rsidRPr="00186D44">
        <w:rPr>
          <w:color w:val="0563C1"/>
          <w:sz w:val="36"/>
        </w:rPr>
        <w:tab/>
      </w:r>
      <w:r w:rsidRPr="00186D44">
        <w:rPr>
          <w:color w:val="0563C1"/>
        </w:rPr>
        <w:t>瀏覽</w:t>
      </w:r>
      <w:r>
        <w:rPr>
          <w:color w:val="0070C0"/>
        </w:rPr>
        <w:t>委員會網站：</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如果您需要口譯員，請致電</w:t>
      </w:r>
      <w:r>
        <w:t>13 14 50</w:t>
      </w:r>
      <w:r>
        <w:t>聯絡筆譯和口譯服務處（</w:t>
      </w:r>
      <w:r>
        <w:t>Translating and Interpreting Service</w:t>
      </w:r>
      <w:r>
        <w:t>），並請對方致電</w:t>
      </w:r>
      <w:r>
        <w:t>1300 782 978</w:t>
      </w:r>
      <w:r>
        <w:t>聯絡兒童與青少年委員會。</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如您失聰或有言語障礙，請透過國家中繼服務聯絡我們。欲知詳情，請瀏覽：</w:t>
      </w:r>
      <w:hyperlink r:id="rId13" w:history="1">
        <w:r>
          <w:rPr>
            <w:rStyle w:val="Hyperlink"/>
          </w:rPr>
          <w:t>www.relayservice.gov.au</w:t>
        </w:r>
      </w:hyperlink>
      <w:r>
        <w:t>網站。</w:t>
      </w:r>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第</w:t>
          </w:r>
          <w:r>
            <w:fldChar w:fldCharType="begin"/>
          </w:r>
          <w:r>
            <w:instrText xml:space="preserve"> PAGE  \* Arabic  \* MERGEFORMAT </w:instrText>
          </w:r>
          <w:r>
            <w:fldChar w:fldCharType="separate"/>
          </w:r>
          <w:r w:rsidR="004011D4">
            <w:rPr>
              <w:noProof/>
            </w:rPr>
            <w:t>5</w:t>
          </w:r>
          <w:r>
            <w:fldChar w:fldCharType="end"/>
          </w:r>
          <w:r>
            <w:t>頁，共</w:t>
          </w:r>
          <w:r w:rsidR="004011D4">
            <w:rPr>
              <w:noProof/>
            </w:rPr>
            <w:fldChar w:fldCharType="begin"/>
          </w:r>
          <w:r w:rsidR="004011D4">
            <w:rPr>
              <w:noProof/>
            </w:rPr>
            <w:instrText xml:space="preserve"> NUMPAGES  \* Arabic  \* MERGEFORMAT </w:instrText>
          </w:r>
          <w:r w:rsidR="004011D4">
            <w:rPr>
              <w:noProof/>
            </w:rPr>
            <w:fldChar w:fldCharType="separate"/>
          </w:r>
          <w:r w:rsidR="004011D4">
            <w:rPr>
              <w:noProof/>
            </w:rPr>
            <w:t>5</w:t>
          </w:r>
          <w:r w:rsidR="004011D4">
            <w:rPr>
              <w:noProof/>
            </w:rPr>
            <w:fldChar w:fldCharType="end"/>
          </w:r>
          <w:r>
            <w:t>頁</w:t>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最後更新日期：</w:t>
          </w:r>
          <w:r>
            <w:t>2023</w:t>
          </w:r>
          <w:r>
            <w:t>年</w:t>
          </w:r>
          <w:r>
            <w:t>1</w:t>
          </w:r>
          <w:r>
            <w:t>月</w:t>
          </w:r>
          <w:r>
            <w:t>30</w:t>
          </w:r>
          <w:r>
            <w:t>日</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第</w:t>
          </w:r>
          <w:r>
            <w:fldChar w:fldCharType="begin"/>
          </w:r>
          <w:r>
            <w:instrText xml:space="preserve"> PAGE  \* Arabic  \* MERGEFORMAT </w:instrText>
          </w:r>
          <w:r>
            <w:fldChar w:fldCharType="separate"/>
          </w:r>
          <w:r w:rsidR="004011D4">
            <w:rPr>
              <w:noProof/>
            </w:rPr>
            <w:t>1</w:t>
          </w:r>
          <w:r>
            <w:fldChar w:fldCharType="end"/>
          </w:r>
          <w:r>
            <w:t>頁，共</w:t>
          </w:r>
          <w:r w:rsidR="004011D4">
            <w:rPr>
              <w:noProof/>
            </w:rPr>
            <w:fldChar w:fldCharType="begin"/>
          </w:r>
          <w:r w:rsidR="004011D4">
            <w:rPr>
              <w:noProof/>
            </w:rPr>
            <w:instrText xml:space="preserve"> NUMPAGES  \* Arabic  \* MERGEFORMAT </w:instrText>
          </w:r>
          <w:r w:rsidR="004011D4">
            <w:rPr>
              <w:noProof/>
            </w:rPr>
            <w:fldChar w:fldCharType="separate"/>
          </w:r>
          <w:r w:rsidR="004011D4">
            <w:rPr>
              <w:noProof/>
            </w:rPr>
            <w:t>5</w:t>
          </w:r>
          <w:r w:rsidR="004011D4">
            <w:rPr>
              <w:noProof/>
            </w:rPr>
            <w:fldChar w:fldCharType="end"/>
          </w:r>
          <w:r>
            <w:t>頁</w:t>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最後更新日期：</w:t>
          </w:r>
          <w:r>
            <w:t>2023</w:t>
          </w:r>
          <w:r>
            <w:t>年</w:t>
          </w:r>
          <w:r>
            <w:t>1</w:t>
          </w:r>
          <w:r>
            <w:t>月</w:t>
          </w:r>
          <w:r>
            <w:t>30</w:t>
          </w:r>
          <w:r>
            <w:t>日</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w:t>
      </w:r>
      <w:r>
        <w:t>為了便於理解，本文所有提到的「相關實體」都已替換為「機構」。「相關實體」在</w:t>
      </w:r>
      <w:r>
        <w:rPr>
          <w:i/>
          <w:iCs/>
        </w:rPr>
        <w:t>《</w:t>
      </w:r>
      <w:r>
        <w:rPr>
          <w:i/>
          <w:iCs/>
        </w:rPr>
        <w:t>2005</w:t>
      </w:r>
      <w:r>
        <w:rPr>
          <w:i/>
          <w:iCs/>
        </w:rPr>
        <w:t>年兒童福祉和安全法》</w:t>
      </w:r>
      <w:r>
        <w:t>第</w:t>
      </w:r>
      <w:r>
        <w:t>3(1)</w:t>
      </w:r>
      <w:r>
        <w:t>節中有所界定，涵蓋受兒童安全標準約束的實體。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D491" w14:textId="77777777" w:rsidR="000F2356" w:rsidRDefault="000F2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7677" w14:textId="77777777" w:rsidR="000F2356" w:rsidRDefault="000F2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Default="00947A5C" w:rsidP="00B724BB">
    <w:pPr>
      <w:pStyle w:val="CCYPDoctype"/>
      <w:rPr>
        <w:color w:val="FFFFFF" w:themeColor="background1"/>
        <w:sz w:val="56"/>
        <w:szCs w:val="52"/>
      </w:rPr>
    </w:pPr>
    <w:r w:rsidRPr="00E45F80">
      <w:rPr>
        <w:noProof/>
        <w:color w:val="FFFFFF" w:themeColor="background1"/>
        <w:sz w:val="56"/>
        <w:szCs w:val="52"/>
        <w:lang w:val="en-AU" w:eastAsia="en-AU"/>
      </w:rPr>
      <w:drawing>
        <wp:anchor distT="0" distB="0" distL="114300" distR="114300" simplePos="0" relativeHeight="251658241"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58243"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526E" id="Round Single Corner Rectangle 3" o:spid="_x0000_s1026" style="position:absolute;margin-left:-73.15pt;margin-top:-17.8pt;width:349.75pt;height:116.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5824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Pr>
        <w:color w:val="FFFFFF" w:themeColor="background1"/>
        <w:sz w:val="56"/>
      </w:rPr>
      <w:t>維多利亞州</w:t>
    </w:r>
    <w:r>
      <w:rPr>
        <w:color w:val="FFFFFF" w:themeColor="background1"/>
        <w:sz w:val="56"/>
      </w:rPr>
      <w:t>11</w:t>
    </w:r>
    <w:r>
      <w:rPr>
        <w:color w:val="FFFFFF" w:themeColor="background1"/>
        <w:sz w:val="56"/>
      </w:rPr>
      <w:t>項</w:t>
    </w:r>
  </w:p>
  <w:p w14:paraId="71631324" w14:textId="75581A9A" w:rsidR="00B724BB" w:rsidRPr="00E45F80" w:rsidRDefault="00AD7206" w:rsidP="00B724BB">
    <w:pPr>
      <w:pStyle w:val="CCYPDoctype"/>
      <w:rPr>
        <w:color w:val="FFFFFF" w:themeColor="background1"/>
        <w:sz w:val="56"/>
        <w:szCs w:val="52"/>
      </w:rPr>
    </w:pPr>
    <w:r>
      <w:rPr>
        <w:color w:val="FFFFFF" w:themeColor="background1"/>
        <w:sz w:val="56"/>
      </w:rPr>
      <w:t>兒童安全標準</w:t>
    </w:r>
    <w:r>
      <w:rPr>
        <w:color w:val="FFFFFF" w:themeColor="background1"/>
        <w:sz w:val="56"/>
      </w:rPr>
      <w:t xml:space="preserve"> </w:t>
    </w:r>
  </w:p>
  <w:p w14:paraId="4B6AE384" w14:textId="0D5F40A9" w:rsidR="00F6222C" w:rsidRDefault="007F4BE3" w:rsidP="007F4BE3">
    <w:pPr>
      <w:pStyle w:val="Header"/>
      <w:tabs>
        <w:tab w:val="clear" w:pos="4513"/>
        <w:tab w:val="clear" w:pos="9026"/>
        <w:tab w:val="left" w:pos="1540"/>
      </w:tabs>
    </w:pPr>
    <w:r>
      <w:tab/>
    </w:r>
  </w:p>
  <w:p w14:paraId="329EAF98" w14:textId="35564BF6" w:rsidR="00F6222C" w:rsidRDefault="00F6222C" w:rsidP="00F6222C">
    <w:pPr>
      <w:pStyle w:val="Header"/>
    </w:pPr>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eastAsia="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eastAsia="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eastAsia="Symbol" w:hAnsi="Symbol" w:hint="default"/>
        <w:color w:val="0081C6" w:themeColor="accent1"/>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eastAsia="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eastAsia="Symbol" w:hAnsi="Symbol" w:hint="default"/>
        <w:color w:val="0081C6" w:themeColor="accent1"/>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0F2356"/>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11D4"/>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4F3D15"/>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0FDC"/>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theme="minorHAnsi"/>
        <w:lang w:val="en-GB" w:eastAsia="zh-TW"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eastAsia="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eastAsia="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eastAsia="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eastAsia="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eastAsia="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eastAsia="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eastAsia="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EastAsia"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EastAsia" w:hAnsiTheme="minorHAnsi" w:cstheme="minorBidi"/>
      <w:lang w:val="en-AU" w:eastAsia="zh-TW"/>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Arial"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EastAsia" w:hAnsiTheme="minorHAnsi" w:cstheme="minorBidi"/>
      <w:b/>
      <w:bCs/>
      <w:lang w:val="en-AU" w:eastAsia="zh-TW"/>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0136A-3216-48FD-92B3-4999AD867758}">
  <ds:schemaRefs>
    <ds:schemaRef ds:uri="http://schemas.openxmlformats.org/officeDocument/2006/bibliography"/>
  </ds:schemaRefs>
</ds:datastoreItem>
</file>

<file path=customXml/itemProps2.xml><?xml version="1.0" encoding="utf-8"?>
<ds:datastoreItem xmlns:ds="http://schemas.openxmlformats.org/officeDocument/2006/customXml" ds:itemID="{4E9EC81C-8B8C-4D8A-8837-FFA5857E4C7A}"/>
</file>

<file path=customXml/itemProps3.xml><?xml version="1.0" encoding="utf-8"?>
<ds:datastoreItem xmlns:ds="http://schemas.openxmlformats.org/officeDocument/2006/customXml" ds:itemID="{021C4DBD-5115-47E0-B980-73F592406F5E}"/>
</file>

<file path=customXml/itemProps4.xml><?xml version="1.0" encoding="utf-8"?>
<ds:datastoreItem xmlns:ds="http://schemas.openxmlformats.org/officeDocument/2006/customXml" ds:itemID="{4FB14C57-FDDB-449D-81A3-8DA50C2FC97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2023-03-20T01:49:00Z</dcterms:created>
  <dcterms:modified xsi:type="dcterms:W3CDTF">2023-03-20T01:50:00Z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