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CB32" w14:textId="77777777" w:rsidR="003C7DFF" w:rsidRPr="003C7DFF" w:rsidRDefault="003C7DFF" w:rsidP="003C7DFF">
      <w:pPr>
        <w:pStyle w:val="Heading2"/>
        <w:spacing w:line="276" w:lineRule="auto"/>
        <w:rPr>
          <w:sz w:val="28"/>
        </w:rPr>
      </w:pPr>
      <w:r w:rsidRPr="003C7DFF">
        <w:rPr>
          <w:sz w:val="28"/>
        </w:rPr>
        <w:t>Sexual misconduct</w:t>
      </w:r>
    </w:p>
    <w:p w14:paraId="6E6F2529" w14:textId="77777777" w:rsidR="003C7DFF" w:rsidRDefault="00EE7FE3" w:rsidP="003C7DFF">
      <w:pPr>
        <w:spacing w:before="240"/>
        <w:rPr>
          <w:sz w:val="20"/>
          <w:szCs w:val="20"/>
        </w:rPr>
      </w:pPr>
      <w:r>
        <w:rPr>
          <w:sz w:val="20"/>
          <w:szCs w:val="20"/>
        </w:rPr>
        <w:t xml:space="preserve">The </w:t>
      </w:r>
      <w:r w:rsidRPr="00CA6E04">
        <w:rPr>
          <w:i/>
          <w:sz w:val="20"/>
          <w:szCs w:val="20"/>
        </w:rPr>
        <w:t>Child Wellbeing and Safety Act (2005</w:t>
      </w:r>
      <w:r w:rsidRPr="00EE7FE3">
        <w:rPr>
          <w:sz w:val="20"/>
          <w:szCs w:val="20"/>
        </w:rPr>
        <w:t>)</w:t>
      </w:r>
      <w:r>
        <w:rPr>
          <w:i/>
          <w:sz w:val="20"/>
          <w:szCs w:val="20"/>
        </w:rPr>
        <w:t xml:space="preserve"> </w:t>
      </w:r>
      <w:r>
        <w:rPr>
          <w:sz w:val="20"/>
          <w:szCs w:val="20"/>
        </w:rPr>
        <w:t>states that</w:t>
      </w:r>
      <w:r w:rsidR="003C7DFF" w:rsidRPr="003C7DFF">
        <w:rPr>
          <w:sz w:val="20"/>
          <w:szCs w:val="20"/>
        </w:rPr>
        <w:t xml:space="preserve"> </w:t>
      </w:r>
      <w:r w:rsidR="00D80BAC">
        <w:rPr>
          <w:i/>
          <w:sz w:val="20"/>
          <w:szCs w:val="20"/>
        </w:rPr>
        <w:t>‘</w:t>
      </w:r>
      <w:r w:rsidR="003C7DFF" w:rsidRPr="00CA6E04">
        <w:rPr>
          <w:sz w:val="20"/>
          <w:szCs w:val="20"/>
        </w:rPr>
        <w:t>sexual misconduct, committed against, with or in the presence of, a child</w:t>
      </w:r>
      <w:r w:rsidR="00D80BAC" w:rsidRPr="008F451E">
        <w:rPr>
          <w:sz w:val="20"/>
          <w:szCs w:val="20"/>
        </w:rPr>
        <w:t>’</w:t>
      </w:r>
      <w:r>
        <w:rPr>
          <w:sz w:val="20"/>
          <w:szCs w:val="20"/>
        </w:rPr>
        <w:t xml:space="preserve"> is a type of reportable conduct</w:t>
      </w:r>
      <w:r w:rsidR="003C7DFF" w:rsidRPr="003C7DFF">
        <w:rPr>
          <w:sz w:val="20"/>
          <w:szCs w:val="20"/>
        </w:rPr>
        <w:t xml:space="preserve">. </w:t>
      </w:r>
      <w:r w:rsidRPr="00EE7FE3">
        <w:rPr>
          <w:sz w:val="20"/>
          <w:szCs w:val="20"/>
        </w:rPr>
        <w:t xml:space="preserve">This information sheet provides guidance to assist organisations in deciding whether conduct or behaviour is </w:t>
      </w:r>
      <w:r>
        <w:rPr>
          <w:sz w:val="20"/>
          <w:szCs w:val="20"/>
        </w:rPr>
        <w:t>considered as sexual misconduct</w:t>
      </w:r>
      <w:r w:rsidRPr="00EE7FE3">
        <w:rPr>
          <w:sz w:val="20"/>
          <w:szCs w:val="20"/>
        </w:rPr>
        <w:t xml:space="preserve"> under the Reportable Conduct Scheme (the scheme). As this guidance is of a general nature, it may not cover all possible situations. If further guidance is required, please contact the Commission to discuss your individual situation.</w:t>
      </w:r>
      <w:r>
        <w:rPr>
          <w:sz w:val="20"/>
          <w:szCs w:val="20"/>
        </w:rPr>
        <w:t xml:space="preserve"> </w:t>
      </w:r>
      <w:r w:rsidR="003C7DFF" w:rsidRPr="003C7DFF">
        <w:rPr>
          <w:sz w:val="20"/>
          <w:szCs w:val="20"/>
        </w:rPr>
        <w:t>This type of reportable conduct is intended to capture a broad range of misconduct of a sexual nature</w:t>
      </w:r>
      <w:r w:rsidR="00464DB1">
        <w:rPr>
          <w:sz w:val="20"/>
          <w:szCs w:val="20"/>
        </w:rPr>
        <w:t xml:space="preserve"> that can pose</w:t>
      </w:r>
      <w:r w:rsidR="00464DB1" w:rsidRPr="003C7DFF">
        <w:rPr>
          <w:sz w:val="20"/>
          <w:szCs w:val="20"/>
        </w:rPr>
        <w:t xml:space="preserve"> a significant risk to children</w:t>
      </w:r>
      <w:r w:rsidR="003C7DFF" w:rsidRPr="003C7DFF">
        <w:rPr>
          <w:sz w:val="20"/>
          <w:szCs w:val="20"/>
        </w:rPr>
        <w:t>,</w:t>
      </w:r>
      <w:r w:rsidR="00030964">
        <w:rPr>
          <w:sz w:val="20"/>
          <w:szCs w:val="20"/>
        </w:rPr>
        <w:t xml:space="preserve"> </w:t>
      </w:r>
      <w:r w:rsidR="003C7DFF" w:rsidRPr="003C7DFF">
        <w:rPr>
          <w:sz w:val="20"/>
          <w:szCs w:val="20"/>
        </w:rPr>
        <w:t>even if it falls below the criminal threshold</w:t>
      </w:r>
      <w:r w:rsidR="00464DB1">
        <w:rPr>
          <w:sz w:val="20"/>
          <w:szCs w:val="20"/>
        </w:rPr>
        <w:t>.</w:t>
      </w:r>
    </w:p>
    <w:p w14:paraId="38F19A98" w14:textId="77777777" w:rsidR="003C7DFF" w:rsidRPr="003C7DFF" w:rsidRDefault="00464DB1" w:rsidP="00F51030">
      <w:pPr>
        <w:spacing w:before="240"/>
        <w:rPr>
          <w:sz w:val="20"/>
          <w:szCs w:val="20"/>
        </w:rPr>
      </w:pPr>
      <w:r>
        <w:rPr>
          <w:sz w:val="20"/>
          <w:szCs w:val="20"/>
        </w:rPr>
        <w:t xml:space="preserve">Each allegation should be considered individually in order to determine whether the alleged conduct is </w:t>
      </w:r>
      <w:r w:rsidRPr="00464DB1">
        <w:rPr>
          <w:sz w:val="20"/>
          <w:szCs w:val="20"/>
        </w:rPr>
        <w:t>sexual misconduct</w:t>
      </w:r>
      <w:r>
        <w:rPr>
          <w:sz w:val="20"/>
          <w:szCs w:val="20"/>
        </w:rPr>
        <w:t xml:space="preserve"> under the scheme. In deciding whether alleged conduct is sexual misconduct, it may be helpful to consider </w:t>
      </w:r>
      <w:r w:rsidR="00F51030">
        <w:rPr>
          <w:sz w:val="20"/>
          <w:szCs w:val="20"/>
        </w:rPr>
        <w:t xml:space="preserve">whether </w:t>
      </w:r>
      <w:r w:rsidR="003C7DFF" w:rsidRPr="003C7DFF">
        <w:rPr>
          <w:sz w:val="20"/>
          <w:szCs w:val="20"/>
        </w:rPr>
        <w:t>th</w:t>
      </w:r>
      <w:r>
        <w:rPr>
          <w:sz w:val="20"/>
          <w:szCs w:val="20"/>
        </w:rPr>
        <w:t>at</w:t>
      </w:r>
      <w:r w:rsidR="003C7DFF" w:rsidRPr="003C7DFF">
        <w:rPr>
          <w:sz w:val="20"/>
          <w:szCs w:val="20"/>
        </w:rPr>
        <w:t xml:space="preserve"> conduct</w:t>
      </w:r>
      <w:r>
        <w:rPr>
          <w:sz w:val="20"/>
          <w:szCs w:val="20"/>
        </w:rPr>
        <w:t>:</w:t>
      </w:r>
    </w:p>
    <w:p w14:paraId="27C48712"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amounts to misconduct</w:t>
      </w:r>
    </w:p>
    <w:p w14:paraId="397E8CD0"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is of a sexual nature, and</w:t>
      </w:r>
    </w:p>
    <w:p w14:paraId="46ECE825"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occurred against, with or in the presence of, a child.</w:t>
      </w:r>
    </w:p>
    <w:p w14:paraId="0992B274" w14:textId="77777777" w:rsidR="003C7DFF" w:rsidRPr="003C7DFF" w:rsidRDefault="003C7DFF" w:rsidP="003C7DFF">
      <w:pPr>
        <w:pStyle w:val="Heading2"/>
        <w:spacing w:line="276" w:lineRule="auto"/>
      </w:pPr>
      <w:r w:rsidRPr="003C7DFF">
        <w:t>Misconduct</w:t>
      </w:r>
    </w:p>
    <w:p w14:paraId="5BD4CBE7" w14:textId="77777777" w:rsidR="00ED63C0" w:rsidRDefault="003C7DFF" w:rsidP="003C7DFF">
      <w:pPr>
        <w:spacing w:before="240"/>
        <w:rPr>
          <w:sz w:val="20"/>
          <w:szCs w:val="22"/>
        </w:rPr>
      </w:pPr>
      <w:r w:rsidRPr="003C7DFF">
        <w:rPr>
          <w:sz w:val="20"/>
          <w:szCs w:val="22"/>
        </w:rPr>
        <w:t>Conduct can be misconduct if it involves a departure from the accepted standards of the role performed by the worker or volunteer and the misconduct is inte</w:t>
      </w:r>
      <w:r w:rsidR="00464DB1">
        <w:rPr>
          <w:sz w:val="20"/>
          <w:szCs w:val="22"/>
        </w:rPr>
        <w:t xml:space="preserve">ntional or seriously negligent. </w:t>
      </w:r>
    </w:p>
    <w:p w14:paraId="0D9F4CDD" w14:textId="77777777" w:rsidR="003C7DFF" w:rsidRPr="003C7DFF" w:rsidRDefault="003C7DFF" w:rsidP="003C7DFF">
      <w:pPr>
        <w:spacing w:before="240"/>
        <w:rPr>
          <w:sz w:val="20"/>
          <w:szCs w:val="22"/>
        </w:rPr>
      </w:pPr>
      <w:r w:rsidRPr="003C7DFF">
        <w:rPr>
          <w:sz w:val="20"/>
          <w:szCs w:val="22"/>
        </w:rPr>
        <w:t>It is important to note misconduct can be evidenced by a variety of behaviours including physical actions, in person communication and online c</w:t>
      </w:r>
      <w:r w:rsidR="00030964">
        <w:rPr>
          <w:sz w:val="20"/>
          <w:szCs w:val="22"/>
        </w:rPr>
        <w:t xml:space="preserve">ommunication (including email, </w:t>
      </w:r>
      <w:r w:rsidRPr="003C7DFF">
        <w:rPr>
          <w:sz w:val="20"/>
          <w:szCs w:val="22"/>
        </w:rPr>
        <w:t>social media</w:t>
      </w:r>
      <w:r w:rsidR="00030964">
        <w:rPr>
          <w:sz w:val="20"/>
          <w:szCs w:val="22"/>
        </w:rPr>
        <w:t>, telephone, SMS, etc.</w:t>
      </w:r>
      <w:r w:rsidRPr="003C7DFF">
        <w:rPr>
          <w:sz w:val="20"/>
          <w:szCs w:val="22"/>
        </w:rPr>
        <w:t>).</w:t>
      </w:r>
    </w:p>
    <w:p w14:paraId="33547C00" w14:textId="77777777" w:rsidR="003C7DFF" w:rsidRPr="00030964" w:rsidRDefault="003C7DFF" w:rsidP="003C7DFF">
      <w:pPr>
        <w:spacing w:before="240"/>
        <w:rPr>
          <w:b/>
          <w:sz w:val="20"/>
          <w:szCs w:val="22"/>
        </w:rPr>
      </w:pPr>
      <w:r w:rsidRPr="00030964">
        <w:rPr>
          <w:b/>
          <w:sz w:val="20"/>
          <w:szCs w:val="22"/>
        </w:rPr>
        <w:t>Accepted standards</w:t>
      </w:r>
    </w:p>
    <w:p w14:paraId="4B25CAF0" w14:textId="77777777" w:rsidR="003C7DFF" w:rsidRPr="003C7DFF" w:rsidRDefault="00464DB1" w:rsidP="003C7DFF">
      <w:pPr>
        <w:spacing w:before="240"/>
        <w:rPr>
          <w:sz w:val="20"/>
          <w:szCs w:val="22"/>
        </w:rPr>
      </w:pPr>
      <w:r>
        <w:rPr>
          <w:sz w:val="20"/>
          <w:szCs w:val="22"/>
        </w:rPr>
        <w:t xml:space="preserve">In order to identify the </w:t>
      </w:r>
      <w:r w:rsidR="003C7DFF" w:rsidRPr="00464DB1">
        <w:rPr>
          <w:sz w:val="20"/>
          <w:szCs w:val="22"/>
        </w:rPr>
        <w:t>accepted standards</w:t>
      </w:r>
      <w:r w:rsidR="003C7DFF" w:rsidRPr="003C7DFF">
        <w:rPr>
          <w:sz w:val="20"/>
          <w:szCs w:val="22"/>
        </w:rPr>
        <w:t xml:space="preserve"> of a role</w:t>
      </w:r>
      <w:r>
        <w:rPr>
          <w:sz w:val="20"/>
          <w:szCs w:val="22"/>
        </w:rPr>
        <w:t>,</w:t>
      </w:r>
      <w:r w:rsidR="003C7DFF" w:rsidRPr="003C7DFF">
        <w:rPr>
          <w:sz w:val="20"/>
          <w:szCs w:val="22"/>
        </w:rPr>
        <w:t xml:space="preserve"> it is important to identify the role that was being performed by the worker or volunteer at the time the alleged conduct took place. </w:t>
      </w:r>
    </w:p>
    <w:p w14:paraId="03E74936" w14:textId="77777777" w:rsidR="003C7DFF" w:rsidRPr="003C7DFF" w:rsidRDefault="00464DB1" w:rsidP="003C7DFF">
      <w:pPr>
        <w:spacing w:before="240"/>
        <w:rPr>
          <w:sz w:val="20"/>
          <w:szCs w:val="22"/>
        </w:rPr>
      </w:pPr>
      <w:r>
        <w:rPr>
          <w:sz w:val="20"/>
          <w:szCs w:val="22"/>
        </w:rPr>
        <w:t>The</w:t>
      </w:r>
      <w:r w:rsidR="003C7DFF" w:rsidRPr="003C7DFF">
        <w:rPr>
          <w:sz w:val="20"/>
          <w:szCs w:val="22"/>
        </w:rPr>
        <w:t xml:space="preserve"> accepted standards of a role might be informed </w:t>
      </w:r>
      <w:r>
        <w:rPr>
          <w:sz w:val="20"/>
          <w:szCs w:val="22"/>
        </w:rPr>
        <w:t>by a</w:t>
      </w:r>
      <w:r w:rsidRPr="00464DB1">
        <w:rPr>
          <w:sz w:val="20"/>
          <w:szCs w:val="22"/>
        </w:rPr>
        <w:t>pplicable laws, policies, procedures, rules, professional standards and other guidelines</w:t>
      </w:r>
      <w:r w:rsidR="003C7DFF" w:rsidRPr="003C7DFF">
        <w:rPr>
          <w:sz w:val="20"/>
          <w:szCs w:val="22"/>
        </w:rPr>
        <w:t xml:space="preserve">. However, where there is no written guidance, it may be appropriate to take into account the commonly understood practices and responsibilities within a profession as well as community standards. </w:t>
      </w:r>
    </w:p>
    <w:p w14:paraId="5AF03EEF" w14:textId="77777777" w:rsidR="003C7DFF" w:rsidRPr="00464DB1" w:rsidRDefault="003C7DFF" w:rsidP="00464DB1">
      <w:pPr>
        <w:spacing w:before="240"/>
        <w:rPr>
          <w:sz w:val="20"/>
          <w:szCs w:val="20"/>
        </w:rPr>
      </w:pPr>
      <w:r w:rsidRPr="003C7DFF">
        <w:rPr>
          <w:sz w:val="20"/>
          <w:szCs w:val="22"/>
        </w:rPr>
        <w:t>Importantly, a ‘one off’ incident that occurs as the result of an innocent mistake or poor judgment will not usually amount to misconduct.  However, it is possible that a single instance can amount to mi</w:t>
      </w:r>
      <w:r w:rsidR="00464DB1">
        <w:rPr>
          <w:sz w:val="20"/>
          <w:szCs w:val="22"/>
        </w:rPr>
        <w:t xml:space="preserve">sconduct. For example, if the conduct </w:t>
      </w:r>
      <w:r w:rsidR="00464DB1">
        <w:rPr>
          <w:sz w:val="20"/>
        </w:rPr>
        <w:t xml:space="preserve">involves a </w:t>
      </w:r>
      <w:r w:rsidRPr="00464DB1">
        <w:rPr>
          <w:sz w:val="20"/>
          <w:szCs w:val="20"/>
        </w:rPr>
        <w:t>substantial depart</w:t>
      </w:r>
      <w:r w:rsidR="00464DB1">
        <w:rPr>
          <w:sz w:val="20"/>
        </w:rPr>
        <w:t xml:space="preserve">ure </w:t>
      </w:r>
      <w:r w:rsidR="00464DB1" w:rsidRPr="00464DB1">
        <w:rPr>
          <w:sz w:val="20"/>
          <w:szCs w:val="20"/>
        </w:rPr>
        <w:t xml:space="preserve">from </w:t>
      </w:r>
      <w:r w:rsidR="00464DB1">
        <w:rPr>
          <w:sz w:val="20"/>
          <w:szCs w:val="20"/>
        </w:rPr>
        <w:t xml:space="preserve">the </w:t>
      </w:r>
      <w:r w:rsidR="00464DB1" w:rsidRPr="00464DB1">
        <w:rPr>
          <w:sz w:val="20"/>
          <w:szCs w:val="20"/>
        </w:rPr>
        <w:t>accepted standards</w:t>
      </w:r>
      <w:r w:rsidR="00464DB1">
        <w:rPr>
          <w:sz w:val="20"/>
        </w:rPr>
        <w:t xml:space="preserve"> or</w:t>
      </w:r>
      <w:r w:rsidR="00464DB1" w:rsidRPr="00464DB1">
        <w:rPr>
          <w:sz w:val="20"/>
          <w:szCs w:val="20"/>
        </w:rPr>
        <w:t xml:space="preserve"> </w:t>
      </w:r>
      <w:r w:rsidR="00464DB1">
        <w:rPr>
          <w:sz w:val="20"/>
          <w:szCs w:val="20"/>
        </w:rPr>
        <w:t xml:space="preserve">has serious consequences. Similarly, </w:t>
      </w:r>
      <w:r w:rsidRPr="00464DB1">
        <w:rPr>
          <w:sz w:val="20"/>
          <w:szCs w:val="20"/>
        </w:rPr>
        <w:t xml:space="preserve">persistent less serious breaches </w:t>
      </w:r>
      <w:r w:rsidR="00464DB1">
        <w:rPr>
          <w:sz w:val="20"/>
          <w:szCs w:val="20"/>
        </w:rPr>
        <w:t xml:space="preserve">can amount to misconduct, especially if the conduct continues to </w:t>
      </w:r>
      <w:r w:rsidRPr="00464DB1">
        <w:rPr>
          <w:sz w:val="20"/>
          <w:szCs w:val="20"/>
        </w:rPr>
        <w:t>occur even though the worker or volunteer was aware</w:t>
      </w:r>
      <w:r w:rsidR="00464DB1">
        <w:rPr>
          <w:sz w:val="20"/>
          <w:szCs w:val="20"/>
        </w:rPr>
        <w:t>,</w:t>
      </w:r>
      <w:r w:rsidRPr="00464DB1">
        <w:rPr>
          <w:sz w:val="20"/>
          <w:szCs w:val="20"/>
        </w:rPr>
        <w:t xml:space="preserve"> or should have been aware</w:t>
      </w:r>
      <w:r w:rsidR="00464DB1">
        <w:rPr>
          <w:sz w:val="20"/>
          <w:szCs w:val="20"/>
        </w:rPr>
        <w:t>,</w:t>
      </w:r>
      <w:r w:rsidRPr="00464DB1">
        <w:rPr>
          <w:sz w:val="20"/>
          <w:szCs w:val="20"/>
        </w:rPr>
        <w:t xml:space="preserve"> that their behaviour </w:t>
      </w:r>
      <w:r w:rsidR="00464DB1">
        <w:rPr>
          <w:sz w:val="20"/>
          <w:szCs w:val="20"/>
        </w:rPr>
        <w:t xml:space="preserve">was </w:t>
      </w:r>
      <w:r w:rsidRPr="00464DB1">
        <w:rPr>
          <w:sz w:val="20"/>
          <w:szCs w:val="20"/>
        </w:rPr>
        <w:t>unacceptable.</w:t>
      </w:r>
    </w:p>
    <w:p w14:paraId="101806EC" w14:textId="77777777" w:rsidR="0049516D" w:rsidRDefault="0049516D">
      <w:pPr>
        <w:spacing w:before="0"/>
        <w:rPr>
          <w:b/>
          <w:sz w:val="20"/>
          <w:szCs w:val="22"/>
        </w:rPr>
      </w:pPr>
      <w:r>
        <w:rPr>
          <w:b/>
          <w:sz w:val="20"/>
          <w:szCs w:val="22"/>
        </w:rPr>
        <w:br w:type="page"/>
      </w:r>
    </w:p>
    <w:p w14:paraId="4DAB3801" w14:textId="1303B3DE" w:rsidR="003C7DFF" w:rsidRPr="00030964" w:rsidRDefault="003C7DFF" w:rsidP="003C7DFF">
      <w:pPr>
        <w:spacing w:before="240"/>
        <w:rPr>
          <w:b/>
          <w:sz w:val="20"/>
          <w:szCs w:val="22"/>
        </w:rPr>
      </w:pPr>
      <w:r w:rsidRPr="00030964">
        <w:rPr>
          <w:b/>
          <w:sz w:val="20"/>
          <w:szCs w:val="22"/>
        </w:rPr>
        <w:lastRenderedPageBreak/>
        <w:t>Intention or serious negligence</w:t>
      </w:r>
    </w:p>
    <w:p w14:paraId="6FDEB2CA" w14:textId="04CE32DA" w:rsidR="00EE7FE3" w:rsidRDefault="00D80BAC" w:rsidP="003C7DFF">
      <w:pPr>
        <w:spacing w:before="240"/>
        <w:rPr>
          <w:sz w:val="20"/>
          <w:szCs w:val="22"/>
        </w:rPr>
      </w:pPr>
      <w:r>
        <w:rPr>
          <w:sz w:val="20"/>
          <w:szCs w:val="22"/>
        </w:rPr>
        <w:t>‘</w:t>
      </w:r>
      <w:r w:rsidR="003C7DFF" w:rsidRPr="003C7DFF">
        <w:rPr>
          <w:sz w:val="20"/>
          <w:szCs w:val="22"/>
        </w:rPr>
        <w:t>Intentionally</w:t>
      </w:r>
      <w:r>
        <w:rPr>
          <w:sz w:val="20"/>
          <w:szCs w:val="22"/>
        </w:rPr>
        <w:t>’</w:t>
      </w:r>
      <w:r w:rsidR="003C7DFF" w:rsidRPr="003C7DFF">
        <w:rPr>
          <w:sz w:val="20"/>
          <w:szCs w:val="22"/>
        </w:rPr>
        <w:t xml:space="preserve"> means to perform the conduct in a deliberate and voluntary way.</w:t>
      </w:r>
    </w:p>
    <w:p w14:paraId="4D7DE1A6" w14:textId="77777777" w:rsidR="003C7DFF" w:rsidRPr="003C7DFF" w:rsidRDefault="00D80BAC" w:rsidP="003C7DFF">
      <w:pPr>
        <w:spacing w:before="240"/>
        <w:rPr>
          <w:sz w:val="20"/>
          <w:szCs w:val="22"/>
        </w:rPr>
      </w:pPr>
      <w:r>
        <w:rPr>
          <w:sz w:val="20"/>
          <w:szCs w:val="22"/>
        </w:rPr>
        <w:t>‘</w:t>
      </w:r>
      <w:r w:rsidR="003C7DFF" w:rsidRPr="003C7DFF">
        <w:rPr>
          <w:sz w:val="20"/>
          <w:szCs w:val="22"/>
        </w:rPr>
        <w:t>Seriously negligent</w:t>
      </w:r>
      <w:r>
        <w:rPr>
          <w:sz w:val="20"/>
          <w:szCs w:val="22"/>
        </w:rPr>
        <w:t>’</w:t>
      </w:r>
      <w:r w:rsidR="003C7DFF" w:rsidRPr="003C7DFF">
        <w:rPr>
          <w:sz w:val="20"/>
          <w:szCs w:val="22"/>
        </w:rPr>
        <w:t xml:space="preserve">, in this context, means that: </w:t>
      </w:r>
    </w:p>
    <w:p w14:paraId="7146774A"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the conduct falls short of the standard of care exercised by a reasonable person with the characteristics of the worker or volunteer in all the circumstances; and</w:t>
      </w:r>
    </w:p>
    <w:p w14:paraId="375B57DB"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 xml:space="preserve">the worker or volunteer was indifferent as to the </w:t>
      </w:r>
      <w:r w:rsidR="00ED63C0">
        <w:rPr>
          <w:sz w:val="20"/>
        </w:rPr>
        <w:t>wellbeing</w:t>
      </w:r>
      <w:r w:rsidRPr="003C7DFF">
        <w:rPr>
          <w:sz w:val="20"/>
        </w:rPr>
        <w:t xml:space="preserve"> of those affected by their conduct.</w:t>
      </w:r>
    </w:p>
    <w:p w14:paraId="46463DB5" w14:textId="77777777" w:rsidR="003C7DFF" w:rsidRPr="00ED63C0" w:rsidRDefault="003C7DFF" w:rsidP="00ED63C0">
      <w:pPr>
        <w:pStyle w:val="Heading2"/>
        <w:spacing w:line="276" w:lineRule="auto"/>
      </w:pPr>
      <w:r w:rsidRPr="00ED63C0">
        <w:t>Sexual nature</w:t>
      </w:r>
    </w:p>
    <w:p w14:paraId="0FBA17BB" w14:textId="77777777" w:rsidR="003C7DFF" w:rsidRPr="003C7DFF" w:rsidRDefault="003C7DFF" w:rsidP="003C7DFF">
      <w:pPr>
        <w:spacing w:before="240"/>
        <w:rPr>
          <w:sz w:val="20"/>
          <w:szCs w:val="22"/>
        </w:rPr>
      </w:pPr>
      <w:r w:rsidRPr="003C7DFF">
        <w:rPr>
          <w:sz w:val="20"/>
          <w:szCs w:val="22"/>
        </w:rPr>
        <w:t xml:space="preserve">While it is not possible to list all of the different types of conduct of a sexual nature, it may be helpful to have regard to following factors including: </w:t>
      </w:r>
    </w:p>
    <w:p w14:paraId="712D25A4"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 xml:space="preserve">the area of the body involved in the conduct, </w:t>
      </w:r>
    </w:p>
    <w:p w14:paraId="6C09F412"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whether at least one of the reasons for the conduct was for sexual arousal or gratification, or</w:t>
      </w:r>
    </w:p>
    <w:p w14:paraId="54E53B2B"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whether the conduct was overly personal or intimate.</w:t>
      </w:r>
    </w:p>
    <w:p w14:paraId="791BB85C" w14:textId="77777777" w:rsidR="003C7DFF" w:rsidRPr="00030964" w:rsidRDefault="003C7DFF" w:rsidP="003C7DFF">
      <w:pPr>
        <w:spacing w:before="240"/>
        <w:rPr>
          <w:b/>
          <w:sz w:val="20"/>
          <w:szCs w:val="22"/>
        </w:rPr>
      </w:pPr>
      <w:r w:rsidRPr="00030964">
        <w:rPr>
          <w:b/>
          <w:sz w:val="20"/>
          <w:szCs w:val="22"/>
        </w:rPr>
        <w:t>Area of the body</w:t>
      </w:r>
    </w:p>
    <w:p w14:paraId="377C9629" w14:textId="77777777" w:rsidR="003C7DFF" w:rsidRPr="003C7DFF" w:rsidRDefault="003C7DFF" w:rsidP="003C7DFF">
      <w:pPr>
        <w:spacing w:before="240"/>
        <w:rPr>
          <w:sz w:val="20"/>
          <w:szCs w:val="22"/>
        </w:rPr>
      </w:pPr>
      <w:r w:rsidRPr="003C7DFF">
        <w:rPr>
          <w:sz w:val="20"/>
          <w:szCs w:val="22"/>
        </w:rPr>
        <w:t>If the misconduct involves the genital or anal region, the buttocks, or breasts (either a child’s or any other person’s) this can indicate that the misconduct was of a sexual nature. However, it may be that another area of the body is involved in the conduct but, having regard to the circumstances of that body part’s involvement, the conduct is considered sexual. It is not necessary that the misconduct involve an area of the alleged victim’s body, but may involve an area of the body of the worker or volunteer or any other person or animal. For example:</w:t>
      </w:r>
    </w:p>
    <w:p w14:paraId="41997CBC"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 xml:space="preserve">unwanted and inappropriate touching </w:t>
      </w:r>
    </w:p>
    <w:p w14:paraId="385309F8"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inappropriate conversations or communication about an area of the body or a sexual activity (including a desire to act in a sexual manner)</w:t>
      </w:r>
    </w:p>
    <w:p w14:paraId="64B2487B"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exposure to sexual activity by others</w:t>
      </w:r>
    </w:p>
    <w:p w14:paraId="26938B46"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undressing or watching someone else undress.</w:t>
      </w:r>
    </w:p>
    <w:p w14:paraId="0552C830" w14:textId="77777777" w:rsidR="003C7DFF" w:rsidRPr="003C7DFF" w:rsidRDefault="003C7DFF" w:rsidP="003C7DFF">
      <w:pPr>
        <w:spacing w:before="240"/>
        <w:rPr>
          <w:sz w:val="20"/>
          <w:szCs w:val="22"/>
        </w:rPr>
      </w:pPr>
      <w:r w:rsidRPr="003C7DFF">
        <w:rPr>
          <w:sz w:val="20"/>
          <w:szCs w:val="22"/>
        </w:rPr>
        <w:t>If the conduct involves discussion or communication about a sex act then it is reasonable to conclude that that conversation concerns an area of the body that is sexual in nature.</w:t>
      </w:r>
    </w:p>
    <w:p w14:paraId="53D67F0D" w14:textId="77777777" w:rsidR="003C7DFF" w:rsidRPr="00030964" w:rsidRDefault="003C7DFF" w:rsidP="003C7DFF">
      <w:pPr>
        <w:spacing w:before="240"/>
        <w:rPr>
          <w:b/>
          <w:sz w:val="20"/>
          <w:szCs w:val="22"/>
        </w:rPr>
      </w:pPr>
      <w:r w:rsidRPr="00030964">
        <w:rPr>
          <w:b/>
          <w:sz w:val="20"/>
          <w:szCs w:val="22"/>
        </w:rPr>
        <w:t>Sexual arousal or gratification</w:t>
      </w:r>
    </w:p>
    <w:p w14:paraId="66D4F69A" w14:textId="77777777" w:rsidR="003C7DFF" w:rsidRPr="003C7DFF" w:rsidRDefault="003C7DFF" w:rsidP="003C7DFF">
      <w:pPr>
        <w:spacing w:before="240"/>
        <w:rPr>
          <w:sz w:val="20"/>
          <w:szCs w:val="22"/>
        </w:rPr>
      </w:pPr>
      <w:r w:rsidRPr="003C7DFF">
        <w:rPr>
          <w:sz w:val="20"/>
          <w:szCs w:val="22"/>
        </w:rPr>
        <w:t>If at least one of the reasons for the misconduct was for potential or actual sexual arousal or gratification, this can indicate that the misconduct was of a sexual nature. Such a finding should be made having regard not only to any reasons given by the worker or volunteer for their behaviour, but to all of the circumstances.</w:t>
      </w:r>
    </w:p>
    <w:p w14:paraId="13056CD5" w14:textId="77777777" w:rsidR="003C7DFF" w:rsidRPr="003C7DFF" w:rsidRDefault="003C7DFF" w:rsidP="003C7DFF">
      <w:pPr>
        <w:spacing w:before="240"/>
        <w:rPr>
          <w:sz w:val="20"/>
          <w:szCs w:val="22"/>
        </w:rPr>
      </w:pPr>
      <w:r w:rsidRPr="003C7DFF">
        <w:rPr>
          <w:sz w:val="20"/>
          <w:szCs w:val="22"/>
        </w:rPr>
        <w:t xml:space="preserve">Grooming behaviour can be sexual misconduct. Grooming can involve the use of a variety of manipulative and controlling techniques used to build trust or normalise sexually harmful behaviour with the overall aim of facilitating exploitation or preventing disclosure (or both). Grooming can target those involved in gaining access to the child’s life, including parents and other caregivers, colleagues and others in an organisation. </w:t>
      </w:r>
    </w:p>
    <w:p w14:paraId="522CD6A8" w14:textId="77777777" w:rsidR="003C7DFF" w:rsidRPr="003C7DFF" w:rsidRDefault="003C7DFF" w:rsidP="003C7DFF">
      <w:pPr>
        <w:spacing w:before="240"/>
        <w:rPr>
          <w:sz w:val="20"/>
          <w:szCs w:val="22"/>
        </w:rPr>
      </w:pPr>
      <w:r w:rsidRPr="003C7DFF">
        <w:rPr>
          <w:sz w:val="20"/>
          <w:szCs w:val="22"/>
        </w:rPr>
        <w:t>Some examples of some grooming behaviours include:</w:t>
      </w:r>
    </w:p>
    <w:p w14:paraId="1D33DC7A"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initiating opportunities for unsupervised contact with a child or group of children</w:t>
      </w:r>
    </w:p>
    <w:p w14:paraId="699DE7F2"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spending inappropriate special time with a child</w:t>
      </w:r>
    </w:p>
    <w:p w14:paraId="69D80E85"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inappropriately showing special favours to one child over others</w:t>
      </w:r>
    </w:p>
    <w:p w14:paraId="20B1FBD4"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lastRenderedPageBreak/>
        <w:t>inappropriately allowing a child to overstep rules</w:t>
      </w:r>
    </w:p>
    <w:p w14:paraId="6716C2FD"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inappropriately giving gifts, money, alcohol or drugs</w:t>
      </w:r>
    </w:p>
    <w:p w14:paraId="6F434EFB"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asking the child not to tell anyone else about their conversations, activities or interactions.</w:t>
      </w:r>
    </w:p>
    <w:p w14:paraId="3BB9EB7A" w14:textId="77777777" w:rsidR="003C7DFF" w:rsidRPr="003C7DFF" w:rsidRDefault="003C7DFF" w:rsidP="003C7DFF">
      <w:pPr>
        <w:spacing w:before="240"/>
        <w:rPr>
          <w:sz w:val="20"/>
          <w:szCs w:val="22"/>
        </w:rPr>
      </w:pPr>
      <w:r w:rsidRPr="003C7DFF">
        <w:rPr>
          <w:sz w:val="20"/>
          <w:szCs w:val="22"/>
        </w:rPr>
        <w:t>Grooming behaviour can also be a sexual offence. For example, communications intended to facilitate a sexual offence with a child under the age of 16 can be a sexual offence. If you are uncertain as to whether an allegation of grooming behaviour is a sexual offence, you should contact Victoria Police and the Commission for Children and Young People for guidance.</w:t>
      </w:r>
    </w:p>
    <w:p w14:paraId="668B7EFC" w14:textId="77777777" w:rsidR="003C7DFF" w:rsidRPr="00030964" w:rsidRDefault="003C7DFF" w:rsidP="003C7DFF">
      <w:pPr>
        <w:spacing w:before="240"/>
        <w:rPr>
          <w:b/>
          <w:sz w:val="20"/>
          <w:szCs w:val="22"/>
        </w:rPr>
      </w:pPr>
      <w:r w:rsidRPr="00030964">
        <w:rPr>
          <w:b/>
          <w:sz w:val="20"/>
          <w:szCs w:val="22"/>
        </w:rPr>
        <w:t>Overly personal or intimate</w:t>
      </w:r>
    </w:p>
    <w:p w14:paraId="10937752" w14:textId="77777777" w:rsidR="003C7DFF" w:rsidRPr="003C7DFF" w:rsidRDefault="003C7DFF" w:rsidP="003C7DFF">
      <w:pPr>
        <w:spacing w:before="240"/>
        <w:rPr>
          <w:sz w:val="20"/>
          <w:szCs w:val="22"/>
        </w:rPr>
      </w:pPr>
      <w:r w:rsidRPr="003C7DFF">
        <w:rPr>
          <w:sz w:val="20"/>
          <w:szCs w:val="22"/>
        </w:rPr>
        <w:t>Even if the misconduct does not involve a part of the body, and the reasons for the misconduct did not involve potential or actual sexual arousal or gratification, misconduct may still be misconduct if it is overly personal or intimate.</w:t>
      </w:r>
    </w:p>
    <w:p w14:paraId="04553C3D" w14:textId="77777777" w:rsidR="003C7DFF" w:rsidRPr="003C7DFF" w:rsidRDefault="003C7DFF" w:rsidP="003C7DFF">
      <w:pPr>
        <w:spacing w:before="240"/>
        <w:rPr>
          <w:sz w:val="20"/>
          <w:szCs w:val="22"/>
        </w:rPr>
      </w:pPr>
      <w:r w:rsidRPr="003C7DFF">
        <w:rPr>
          <w:sz w:val="20"/>
          <w:szCs w:val="22"/>
        </w:rPr>
        <w:t xml:space="preserve">Workers or volunteers from organisations that exercise care, supervision or authority over children can exercise power, influence or control over children. Mindful of this power imbalance, these workers and volunteers should always ensure that they maintain appropriate boundaries with children and not act in a manner that is overly personal or intimate. </w:t>
      </w:r>
    </w:p>
    <w:p w14:paraId="54F4B385" w14:textId="77777777" w:rsidR="003C7DFF" w:rsidRPr="003C7DFF" w:rsidRDefault="003C7DFF" w:rsidP="003C7DFF">
      <w:pPr>
        <w:spacing w:before="240"/>
        <w:rPr>
          <w:sz w:val="20"/>
          <w:szCs w:val="22"/>
        </w:rPr>
      </w:pPr>
      <w:r w:rsidRPr="003C7DFF">
        <w:rPr>
          <w:sz w:val="20"/>
          <w:szCs w:val="22"/>
        </w:rPr>
        <w:t>Organisations investigating allegations of misconduct that is overly personal or intimate are encouraged to consider whether the misconduct was so personal or intimate in nature that:</w:t>
      </w:r>
    </w:p>
    <w:p w14:paraId="4A97DA78"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the alleged victim considered that the misconduct was sexual; or</w:t>
      </w:r>
    </w:p>
    <w:p w14:paraId="3EA50FAD"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a reasonable person would regard the misconduct as sexual.</w:t>
      </w:r>
    </w:p>
    <w:p w14:paraId="5D5730C5" w14:textId="77777777" w:rsidR="003C7DFF" w:rsidRPr="003C7DFF" w:rsidRDefault="003C7DFF" w:rsidP="003C7DFF">
      <w:pPr>
        <w:pStyle w:val="BulletsIndent"/>
        <w:spacing w:before="170" w:after="0"/>
        <w:ind w:left="0" w:firstLine="0"/>
        <w:rPr>
          <w:sz w:val="20"/>
        </w:rPr>
      </w:pPr>
      <w:r w:rsidRPr="003C7DFF">
        <w:rPr>
          <w:sz w:val="20"/>
        </w:rPr>
        <w:t>For example conduct that may be overly personal or intimate may include:</w:t>
      </w:r>
    </w:p>
    <w:p w14:paraId="74F6D5FF"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communicating with a child outside of the usual channels of communication i.e. personal correspondence (including emails, social media and web forums) rather than sending letters home or talking with the parents</w:t>
      </w:r>
    </w:p>
    <w:p w14:paraId="3C7C8F13" w14:textId="77777777" w:rsidR="003C7DFF" w:rsidRPr="003C7DFF" w:rsidRDefault="003C7DFF" w:rsidP="003C7DFF">
      <w:pPr>
        <w:pStyle w:val="BulletsIndent"/>
        <w:numPr>
          <w:ilvl w:val="0"/>
          <w:numId w:val="4"/>
        </w:numPr>
        <w:spacing w:before="170" w:after="0"/>
        <w:ind w:left="714" w:hanging="357"/>
        <w:rPr>
          <w:sz w:val="20"/>
        </w:rPr>
      </w:pPr>
      <w:r w:rsidRPr="003C7DFF">
        <w:rPr>
          <w:sz w:val="20"/>
        </w:rPr>
        <w:t>having inappropriate conversations about former sexual partners or crushes</w:t>
      </w:r>
    </w:p>
    <w:p w14:paraId="11899410" w14:textId="77777777" w:rsidR="003C7DFF" w:rsidRDefault="003C7DFF" w:rsidP="003C7DFF">
      <w:pPr>
        <w:pStyle w:val="BulletsIndent"/>
        <w:numPr>
          <w:ilvl w:val="0"/>
          <w:numId w:val="4"/>
        </w:numPr>
        <w:spacing w:before="170" w:after="0"/>
        <w:ind w:left="714" w:hanging="357"/>
        <w:rPr>
          <w:sz w:val="20"/>
        </w:rPr>
      </w:pPr>
      <w:r w:rsidRPr="003C7DFF">
        <w:rPr>
          <w:sz w:val="20"/>
        </w:rPr>
        <w:t>inappropriately touching a child (even where the body part involved may not be overtly sexual, for example massaging a child in circumstances where that would not be part of the worker or volunteer’s role).</w:t>
      </w:r>
    </w:p>
    <w:p w14:paraId="6601DA37" w14:textId="77777777" w:rsidR="00ED63C0" w:rsidRPr="00ED63C0" w:rsidRDefault="00ED63C0" w:rsidP="00ED63C0">
      <w:pPr>
        <w:pStyle w:val="Heading2"/>
        <w:spacing w:line="276" w:lineRule="auto"/>
      </w:pPr>
      <w:r w:rsidRPr="00ED63C0">
        <w:t>Against, with or in the presence of a child</w:t>
      </w:r>
    </w:p>
    <w:p w14:paraId="701D56DB" w14:textId="77777777" w:rsidR="00ED63C0" w:rsidRPr="00ED63C0" w:rsidRDefault="00ED63C0" w:rsidP="00ED63C0">
      <w:pPr>
        <w:pStyle w:val="BulletsIndent"/>
        <w:spacing w:before="170" w:after="0"/>
        <w:ind w:left="0" w:firstLine="0"/>
        <w:rPr>
          <w:sz w:val="20"/>
        </w:rPr>
      </w:pPr>
      <w:r w:rsidRPr="00ED63C0">
        <w:rPr>
          <w:sz w:val="20"/>
        </w:rPr>
        <w:t>The sexual misconduct must either be:</w:t>
      </w:r>
    </w:p>
    <w:p w14:paraId="3099F876" w14:textId="77777777" w:rsidR="00ED63C0" w:rsidRPr="00ED63C0" w:rsidRDefault="00ED63C0" w:rsidP="00ED63C0">
      <w:pPr>
        <w:pStyle w:val="BulletsIndent"/>
        <w:numPr>
          <w:ilvl w:val="0"/>
          <w:numId w:val="4"/>
        </w:numPr>
        <w:spacing w:before="170" w:after="0"/>
        <w:ind w:left="714" w:hanging="357"/>
        <w:rPr>
          <w:sz w:val="20"/>
        </w:rPr>
      </w:pPr>
      <w:r w:rsidRPr="00ED63C0">
        <w:rPr>
          <w:sz w:val="20"/>
        </w:rPr>
        <w:t>against a child</w:t>
      </w:r>
      <w:r>
        <w:rPr>
          <w:sz w:val="20"/>
        </w:rPr>
        <w:t xml:space="preserve"> (for example, a child is the victim or subject of the sexual misconduct)</w:t>
      </w:r>
      <w:r w:rsidRPr="00ED63C0">
        <w:rPr>
          <w:sz w:val="20"/>
        </w:rPr>
        <w:t>, or</w:t>
      </w:r>
    </w:p>
    <w:p w14:paraId="1DDD85BC" w14:textId="77777777" w:rsidR="00ED63C0" w:rsidRPr="00ED63C0" w:rsidRDefault="00ED63C0" w:rsidP="00ED63C0">
      <w:pPr>
        <w:pStyle w:val="BulletsIndent"/>
        <w:numPr>
          <w:ilvl w:val="0"/>
          <w:numId w:val="4"/>
        </w:numPr>
        <w:spacing w:before="170" w:after="0"/>
        <w:ind w:left="714" w:hanging="357"/>
        <w:rPr>
          <w:sz w:val="20"/>
        </w:rPr>
      </w:pPr>
      <w:r w:rsidRPr="00ED63C0">
        <w:rPr>
          <w:sz w:val="20"/>
        </w:rPr>
        <w:t>with a child</w:t>
      </w:r>
      <w:r w:rsidR="00BA083E">
        <w:rPr>
          <w:sz w:val="20"/>
        </w:rPr>
        <w:t xml:space="preserve"> (for example, where the child is a participant in the sexual misconduct, but is not the subject of the sexual misconduct)</w:t>
      </w:r>
      <w:r w:rsidRPr="00ED63C0">
        <w:rPr>
          <w:sz w:val="20"/>
        </w:rPr>
        <w:t>, or</w:t>
      </w:r>
    </w:p>
    <w:p w14:paraId="57BD1F75" w14:textId="082045DC" w:rsidR="0049516D" w:rsidRDefault="00ED63C0" w:rsidP="0049516D">
      <w:pPr>
        <w:pStyle w:val="BulletsIndent"/>
        <w:numPr>
          <w:ilvl w:val="0"/>
          <w:numId w:val="4"/>
        </w:numPr>
        <w:spacing w:before="170" w:after="0"/>
        <w:ind w:left="714" w:hanging="357"/>
        <w:rPr>
          <w:sz w:val="20"/>
        </w:rPr>
      </w:pPr>
      <w:r w:rsidRPr="00ED63C0">
        <w:rPr>
          <w:sz w:val="20"/>
        </w:rPr>
        <w:t>in the presence of a child</w:t>
      </w:r>
      <w:r w:rsidR="00BA083E">
        <w:rPr>
          <w:sz w:val="20"/>
        </w:rPr>
        <w:t xml:space="preserve"> (for example, a child witnesses sexual misconduct against an adult, where it was reasonably foreseeable that the sexual misconduct could be observed by a child)</w:t>
      </w:r>
      <w:r w:rsidRPr="00ED63C0">
        <w:rPr>
          <w:sz w:val="20"/>
        </w:rPr>
        <w:t>.</w:t>
      </w:r>
    </w:p>
    <w:p w14:paraId="5924CFF4" w14:textId="744AA4F8" w:rsidR="009535F7" w:rsidRDefault="009535F7" w:rsidP="009535F7">
      <w:pPr>
        <w:pStyle w:val="BulletsIndent"/>
        <w:spacing w:before="170" w:after="0"/>
        <w:rPr>
          <w:sz w:val="20"/>
        </w:rPr>
      </w:pPr>
    </w:p>
    <w:p w14:paraId="6EA7BC6C" w14:textId="7EDF31AA" w:rsidR="009535F7" w:rsidRDefault="009535F7" w:rsidP="009535F7">
      <w:pPr>
        <w:pStyle w:val="BulletsIndent"/>
        <w:spacing w:before="170" w:after="0"/>
        <w:rPr>
          <w:sz w:val="20"/>
        </w:rPr>
      </w:pPr>
    </w:p>
    <w:p w14:paraId="538140D1" w14:textId="77777777" w:rsidR="009535F7" w:rsidRPr="0049516D" w:rsidRDefault="009535F7" w:rsidP="009535F7">
      <w:pPr>
        <w:pStyle w:val="BulletsIndent"/>
        <w:spacing w:before="170" w:after="0"/>
        <w:rPr>
          <w:sz w:val="20"/>
        </w:rPr>
      </w:pPr>
    </w:p>
    <w:p w14:paraId="3A04A759" w14:textId="5024BCEB" w:rsidR="0049516D" w:rsidRPr="0006156D" w:rsidRDefault="0049516D" w:rsidP="0049516D">
      <w:pPr>
        <w:pStyle w:val="Heading1"/>
        <w:spacing w:before="600"/>
        <w:ind w:right="346"/>
        <w:rPr>
          <w:rFonts w:cs="Arial"/>
          <w:b w:val="0"/>
          <w:bCs/>
          <w:color w:val="FFFFFF" w:themeColor="background1"/>
          <w:szCs w:val="28"/>
        </w:rPr>
      </w:pPr>
      <w:bookmarkStart w:id="0" w:name="_Hlk117517092"/>
      <w:bookmarkStart w:id="1" w:name="_Hlk117004227"/>
      <w:bookmarkStart w:id="2" w:name="_Hlk117515426"/>
      <w:r w:rsidRPr="0006156D">
        <w:rPr>
          <w:rFonts w:cs="Arial"/>
          <w:b w:val="0"/>
          <w:bCs/>
          <w:noProof/>
          <w:color w:val="FFFFFF" w:themeColor="background1"/>
          <w:szCs w:val="28"/>
        </w:rPr>
        <w:lastRenderedPageBreak/>
        <mc:AlternateContent>
          <mc:Choice Requires="wpg">
            <w:drawing>
              <wp:anchor distT="0" distB="0" distL="114300" distR="114300" simplePos="0" relativeHeight="251657216" behindDoc="1" locked="0" layoutInCell="1" allowOverlap="1" wp14:anchorId="76D65E8F" wp14:editId="646539AB">
                <wp:simplePos x="0" y="0"/>
                <wp:positionH relativeFrom="column">
                  <wp:posOffset>-182245</wp:posOffset>
                </wp:positionH>
                <wp:positionV relativeFrom="paragraph">
                  <wp:posOffset>-88900</wp:posOffset>
                </wp:positionV>
                <wp:extent cx="6774180" cy="2423160"/>
                <wp:effectExtent l="0" t="0" r="45720" b="15240"/>
                <wp:wrapNone/>
                <wp:docPr id="10" name="Group 10"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774180" cy="2423160"/>
                          <a:chOff x="-3" y="-59441"/>
                          <a:chExt cx="6791325" cy="2859213"/>
                        </a:xfrm>
                      </wpg:grpSpPr>
                      <wps:wsp>
                        <wps:cNvPr id="11"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 Diagonal Corner Rectangle 35"/>
                        <wps:cNvSpPr/>
                        <wps:spPr>
                          <a:xfrm flipH="1">
                            <a:off x="-3" y="-59441"/>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16FD0E" id="Group 10" o:spid="_x0000_s1026" alt="Title: Background box - Description: graphic element only, does not contain information" style="position:absolute;margin-left:-14.35pt;margin-top:-7pt;width:533.4pt;height:190.8pt;z-index:-251659264;mso-width-relative:margin;mso-height-relative:margin" coordorigin=",-594" coordsize="67913,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594;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" path="m476044,9734r6315398,l6791442,420034,,420034c9069,18,111202,-21513,476044,9734xe" fillcolor="#4472c4" strokecolor="#0081c6" strokeweight="1.5pt">
                  <v:stroke joinstyle="miter"/>
                  <v:path arrowok="t" o:connecttype="custom" o:connectlocs="476036,9815;6791325,9815;6791325,423527;0,423527;476036,9815" o:connectangles="0,0,0,0,0"/>
                </v:shape>
              </v:group>
            </w:pict>
          </mc:Fallback>
        </mc:AlternateContent>
      </w:r>
      <w:r w:rsidRPr="0006156D">
        <w:rPr>
          <w:rFonts w:cs="Arial"/>
          <w:bCs/>
          <w:color w:val="FFFFFF" w:themeColor="background1"/>
          <w:szCs w:val="28"/>
        </w:rPr>
        <w:t>Where to get</w:t>
      </w:r>
      <w:r>
        <w:rPr>
          <w:rFonts w:cs="Arial"/>
          <w:bCs/>
          <w:color w:val="FFFFFF" w:themeColor="background1"/>
          <w:szCs w:val="28"/>
        </w:rPr>
        <w:t xml:space="preserve"> </w:t>
      </w:r>
      <w:r w:rsidRPr="0006156D">
        <w:rPr>
          <w:rFonts w:cs="Arial"/>
          <w:bCs/>
          <w:color w:val="FFFFFF" w:themeColor="background1"/>
          <w:szCs w:val="28"/>
        </w:rPr>
        <w:t>help</w:t>
      </w:r>
    </w:p>
    <w:p w14:paraId="5F94D6F9" w14:textId="77777777" w:rsidR="0049516D" w:rsidRPr="0049516D" w:rsidRDefault="0049516D" w:rsidP="0049516D">
      <w:pPr>
        <w:spacing w:before="160"/>
        <w:rPr>
          <w:rFonts w:cs="Arial"/>
          <w:sz w:val="20"/>
          <w:szCs w:val="28"/>
        </w:rPr>
      </w:pPr>
      <w:r w:rsidRPr="0049516D">
        <w:rPr>
          <w:rFonts w:cs="Arial"/>
          <w:sz w:val="20"/>
          <w:szCs w:val="28"/>
        </w:rPr>
        <w:t>For further information about the Reportable Conduct Scheme, the Child Safe Standards, to talk through issues of concern, or to make a notification:</w:t>
      </w:r>
    </w:p>
    <w:p w14:paraId="6C07FFE5" w14:textId="4223B0CC" w:rsidR="0049516D" w:rsidRPr="0049516D" w:rsidRDefault="0049516D" w:rsidP="0049516D">
      <w:pPr>
        <w:tabs>
          <w:tab w:val="left" w:pos="851"/>
        </w:tabs>
        <w:spacing w:before="120"/>
        <w:ind w:left="340"/>
        <w:rPr>
          <w:rFonts w:cs="Arial"/>
          <w:sz w:val="20"/>
          <w:szCs w:val="28"/>
        </w:rPr>
      </w:pPr>
      <w:r w:rsidRPr="0049516D">
        <w:rPr>
          <w:rFonts w:cs="Arial"/>
          <w:noProof/>
          <w:sz w:val="20"/>
          <w:szCs w:val="28"/>
        </w:rPr>
        <w:drawing>
          <wp:inline distT="0" distB="0" distL="0" distR="0" wp14:anchorId="46597105" wp14:editId="70519CFD">
            <wp:extent cx="1584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8"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49516D">
        <w:rPr>
          <w:rFonts w:cs="Arial"/>
          <w:sz w:val="20"/>
          <w:szCs w:val="28"/>
        </w:rPr>
        <w:tab/>
        <w:t xml:space="preserve">Telephone us on:  1300 782 978 </w:t>
      </w:r>
    </w:p>
    <w:p w14:paraId="09F0F48C" w14:textId="77777777" w:rsidR="0049516D" w:rsidRPr="0049516D" w:rsidRDefault="0049516D" w:rsidP="0049516D">
      <w:pPr>
        <w:tabs>
          <w:tab w:val="left" w:pos="851"/>
        </w:tabs>
        <w:spacing w:before="120"/>
        <w:ind w:left="340"/>
        <w:rPr>
          <w:rFonts w:cs="Arial"/>
          <w:color w:val="0563C1"/>
          <w:sz w:val="20"/>
          <w:szCs w:val="28"/>
          <w:u w:val="single"/>
        </w:rPr>
      </w:pPr>
      <w:r w:rsidRPr="0049516D">
        <w:rPr>
          <w:rFonts w:cs="Arial"/>
          <w:noProof/>
          <w:sz w:val="20"/>
          <w:szCs w:val="28"/>
        </w:rPr>
        <w:drawing>
          <wp:inline distT="0" distB="0" distL="0" distR="0" wp14:anchorId="06007D64" wp14:editId="5BD712F5">
            <wp:extent cx="158400" cy="110041"/>
            <wp:effectExtent l="0" t="0" r="0" b="4445"/>
            <wp:docPr id="14" name="Picture 14"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49516D">
        <w:rPr>
          <w:rFonts w:cs="Arial"/>
          <w:sz w:val="20"/>
          <w:szCs w:val="28"/>
        </w:rPr>
        <w:tab/>
        <w:t xml:space="preserve">Email us at:  </w:t>
      </w:r>
      <w:hyperlink r:id="rId10" w:history="1">
        <w:r w:rsidRPr="0049516D">
          <w:rPr>
            <w:rFonts w:cs="Arial"/>
            <w:color w:val="0563C1"/>
            <w:sz w:val="20"/>
            <w:szCs w:val="28"/>
            <w:u w:val="single"/>
          </w:rPr>
          <w:t>contact@ccyp.vic.gov.au</w:t>
        </w:r>
      </w:hyperlink>
      <w:r w:rsidRPr="0049516D">
        <w:rPr>
          <w:rFonts w:cs="Arial"/>
          <w:color w:val="0563C1"/>
          <w:sz w:val="20"/>
          <w:szCs w:val="28"/>
          <w:u w:val="single"/>
        </w:rPr>
        <w:t xml:space="preserve"> </w:t>
      </w:r>
    </w:p>
    <w:p w14:paraId="7BE2582D" w14:textId="77777777" w:rsidR="0049516D" w:rsidRPr="0049516D" w:rsidRDefault="0049516D" w:rsidP="0049516D">
      <w:pPr>
        <w:tabs>
          <w:tab w:val="left" w:pos="851"/>
        </w:tabs>
        <w:spacing w:before="120"/>
        <w:ind w:left="340"/>
        <w:rPr>
          <w:rStyle w:val="Hyperlink"/>
          <w:rFonts w:eastAsiaTheme="majorEastAsia" w:cs="Arial"/>
          <w:color w:val="0563C1"/>
          <w:sz w:val="20"/>
          <w:szCs w:val="28"/>
        </w:rPr>
      </w:pPr>
      <w:r w:rsidRPr="0049516D">
        <w:rPr>
          <w:rFonts w:cs="Arial"/>
          <w:noProof/>
          <w:sz w:val="20"/>
          <w:szCs w:val="28"/>
        </w:rPr>
        <w:drawing>
          <wp:inline distT="0" distB="0" distL="0" distR="0" wp14:anchorId="64FF3298" wp14:editId="2D44D925">
            <wp:extent cx="158400" cy="158400"/>
            <wp:effectExtent l="0" t="0" r="0" b="0"/>
            <wp:docPr id="15" name="Picture 15"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49516D">
        <w:rPr>
          <w:rFonts w:cs="Arial"/>
          <w:sz w:val="20"/>
          <w:szCs w:val="28"/>
        </w:rPr>
        <w:tab/>
        <w:t xml:space="preserve">Visit the Commission’s website:  </w:t>
      </w:r>
      <w:hyperlink r:id="rId12" w:history="1">
        <w:r w:rsidRPr="0049516D">
          <w:rPr>
            <w:rFonts w:cs="Arial"/>
            <w:color w:val="0563C1"/>
            <w:sz w:val="20"/>
            <w:szCs w:val="28"/>
            <w:u w:val="single"/>
          </w:rPr>
          <w:t>www.ccyp.vic.gov.au</w:t>
        </w:r>
      </w:hyperlink>
      <w:r w:rsidRPr="0049516D">
        <w:rPr>
          <w:rFonts w:cs="Arial"/>
          <w:color w:val="0563C1"/>
          <w:sz w:val="20"/>
          <w:szCs w:val="28"/>
          <w:u w:val="single"/>
        </w:rPr>
        <w:t xml:space="preserve"> </w:t>
      </w:r>
    </w:p>
    <w:p w14:paraId="355DB4D4" w14:textId="116DD6A4" w:rsidR="0049516D" w:rsidRPr="0049516D" w:rsidRDefault="0049516D" w:rsidP="0049516D">
      <w:pPr>
        <w:rPr>
          <w:rFonts w:cs="Arial"/>
          <w:sz w:val="20"/>
          <w:szCs w:val="28"/>
        </w:rPr>
      </w:pPr>
      <w:r w:rsidRPr="0049516D">
        <w:rPr>
          <w:rFonts w:cs="Arial"/>
          <w:sz w:val="20"/>
          <w:szCs w:val="28"/>
        </w:rPr>
        <w:t xml:space="preserve">If you need an interpreter, please call the Translating and Interpreting Service on 13 14 50 and ask them to contact the Commission for Children and Young People on </w:t>
      </w:r>
      <w:r w:rsidR="002D35C2" w:rsidRPr="0049516D">
        <w:rPr>
          <w:rFonts w:cs="Arial"/>
          <w:sz w:val="20"/>
          <w:szCs w:val="28"/>
        </w:rPr>
        <w:t>1300 782 978</w:t>
      </w:r>
      <w:r w:rsidRPr="0049516D">
        <w:rPr>
          <w:rFonts w:cs="Arial"/>
          <w:sz w:val="20"/>
          <w:szCs w:val="28"/>
        </w:rPr>
        <w:t>.</w:t>
      </w:r>
    </w:p>
    <w:p w14:paraId="66EEF3DE" w14:textId="77777777" w:rsidR="0049516D" w:rsidRPr="0049516D" w:rsidRDefault="0049516D" w:rsidP="0049516D">
      <w:pPr>
        <w:rPr>
          <w:rFonts w:cs="Arial"/>
          <w:sz w:val="20"/>
          <w:szCs w:val="28"/>
        </w:rPr>
      </w:pPr>
      <w:r w:rsidRPr="0049516D">
        <w:rPr>
          <w:rFonts w:cs="Arial"/>
          <w:sz w:val="20"/>
          <w:szCs w:val="28"/>
        </w:rPr>
        <w:t xml:space="preserve">If you are deaf, or have a hearing or speech impairment, contact us through the National Relay Service. For more information, visit: </w:t>
      </w:r>
      <w:hyperlink r:id="rId13" w:history="1">
        <w:r w:rsidRPr="0049516D">
          <w:rPr>
            <w:rStyle w:val="Hyperlink"/>
            <w:rFonts w:eastAsiaTheme="majorEastAsia" w:cs="Arial"/>
            <w:sz w:val="20"/>
            <w:szCs w:val="28"/>
          </w:rPr>
          <w:t>www.relayservice.gov.au</w:t>
        </w:r>
      </w:hyperlink>
      <w:r w:rsidRPr="0049516D">
        <w:rPr>
          <w:rFonts w:cs="Arial"/>
          <w:sz w:val="20"/>
          <w:szCs w:val="28"/>
        </w:rPr>
        <w:t xml:space="preserve"> </w:t>
      </w:r>
    </w:p>
    <w:bookmarkEnd w:id="0"/>
    <w:bookmarkEnd w:id="1"/>
    <w:bookmarkEnd w:id="2"/>
    <w:p w14:paraId="7B2B0AEF" w14:textId="753EB7DE" w:rsidR="001E54BA" w:rsidRPr="003C7DFF" w:rsidRDefault="001E54BA">
      <w:pPr>
        <w:rPr>
          <w:sz w:val="16"/>
        </w:rPr>
      </w:pPr>
    </w:p>
    <w:sectPr w:rsidR="001E54BA" w:rsidRPr="003C7DFF" w:rsidSect="005B35B8">
      <w:headerReference w:type="even" r:id="rId14"/>
      <w:headerReference w:type="default" r:id="rId15"/>
      <w:footerReference w:type="even" r:id="rId16"/>
      <w:footerReference w:type="default" r:id="rId17"/>
      <w:headerReference w:type="first" r:id="rId18"/>
      <w:footerReference w:type="first" r:id="rId19"/>
      <w:type w:val="continuous"/>
      <w:pgSz w:w="11900" w:h="16840"/>
      <w:pgMar w:top="851" w:right="851" w:bottom="1560"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BD94" w14:textId="77777777" w:rsidR="00D43CE5" w:rsidRDefault="00D43CE5" w:rsidP="00A642F5">
      <w:pPr>
        <w:spacing w:before="0"/>
      </w:pPr>
      <w:r>
        <w:separator/>
      </w:r>
    </w:p>
  </w:endnote>
  <w:endnote w:type="continuationSeparator" w:id="0">
    <w:p w14:paraId="681C1E1F" w14:textId="77777777" w:rsidR="00D43CE5" w:rsidRDefault="00D43CE5" w:rsidP="00A642F5">
      <w:pPr>
        <w:spacing w:before="0"/>
      </w:pPr>
      <w:r>
        <w:continuationSeparator/>
      </w:r>
    </w:p>
  </w:endnote>
  <w:endnote w:type="continuationNotice" w:id="1">
    <w:p w14:paraId="160B7329" w14:textId="77777777" w:rsidR="00890BBD" w:rsidRDefault="00890BB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9550" w14:textId="77777777" w:rsidR="008E2B07" w:rsidRDefault="008E2B07" w:rsidP="00F06A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9F37C" w14:textId="77777777" w:rsidR="008E2B07" w:rsidRDefault="008E2B07"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2D35C2" w14:paraId="487A95FA"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10E3FED6" w14:textId="1EBA516A" w:rsidR="002D35C2" w:rsidRPr="00384E72" w:rsidRDefault="002D35C2" w:rsidP="002D35C2">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15B4145D" w14:textId="77777777" w:rsidR="002D35C2" w:rsidRPr="00384E72" w:rsidRDefault="002D35C2" w:rsidP="002D35C2">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387DE53D" w14:textId="77777777" w:rsidR="002D35C2" w:rsidRPr="00384E72" w:rsidRDefault="002D35C2" w:rsidP="002D35C2">
          <w:pPr>
            <w:pStyle w:val="CCYPTableTextInfo"/>
            <w:rPr>
              <w:color w:val="262626" w:themeColor="text1" w:themeTint="D9"/>
            </w:rPr>
          </w:pPr>
          <w:r w:rsidRPr="00532BDC">
            <w:rPr>
              <w:color w:val="262626" w:themeColor="text1" w:themeTint="D9"/>
            </w:rPr>
            <w:t>1300 782 978</w:t>
          </w:r>
        </w:p>
      </w:tc>
      <w:tc>
        <w:tcPr>
          <w:tcW w:w="141" w:type="dxa"/>
        </w:tcPr>
        <w:p w14:paraId="50D02A81" w14:textId="77777777" w:rsidR="002D35C2" w:rsidRPr="00384E72" w:rsidRDefault="002D35C2" w:rsidP="002D35C2">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5CFB6C6E" w14:textId="77777777" w:rsidR="002D35C2" w:rsidRPr="00384E72" w:rsidRDefault="002D35C2" w:rsidP="002D35C2">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347BA26F" w14:textId="77777777" w:rsidR="002D35C2" w:rsidRPr="00384E72" w:rsidRDefault="002D35C2" w:rsidP="002D35C2">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06135A70" w14:textId="77777777" w:rsidR="002D35C2" w:rsidRPr="00384E72" w:rsidRDefault="002D35C2" w:rsidP="002D35C2">
          <w:pPr>
            <w:pStyle w:val="CCYPTableTextInfo"/>
            <w:rPr>
              <w:color w:val="262626" w:themeColor="text1" w:themeTint="D9"/>
            </w:rPr>
          </w:pPr>
          <w:r w:rsidRPr="00384E72">
            <w:rPr>
              <w:color w:val="262626" w:themeColor="text1" w:themeTint="D9"/>
            </w:rPr>
            <w:t>ccyp.vic.gov.au</w:t>
          </w:r>
        </w:p>
      </w:tc>
      <w:tc>
        <w:tcPr>
          <w:tcW w:w="142" w:type="dxa"/>
        </w:tcPr>
        <w:p w14:paraId="2F81338F" w14:textId="77777777" w:rsidR="002D35C2" w:rsidRPr="00384E72" w:rsidRDefault="002D35C2" w:rsidP="002D35C2">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0AA3C99F" w14:textId="7C97DA61" w:rsidR="002D35C2" w:rsidRPr="00384E72" w:rsidRDefault="002D35C2" w:rsidP="002D35C2">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sidR="002C1449">
            <w:rPr>
              <w:color w:val="262626" w:themeColor="text1" w:themeTint="D9"/>
            </w:rPr>
            <w:t>29 November 2022</w:t>
          </w:r>
        </w:p>
      </w:tc>
    </w:tr>
  </w:tbl>
  <w:p w14:paraId="45E89337" w14:textId="77777777" w:rsidR="00DB4033" w:rsidRPr="00DB4033" w:rsidRDefault="00461566" w:rsidP="00DB4033">
    <w:pPr>
      <w:pStyle w:val="Footer"/>
      <w:contextualSpacing/>
      <w:rPr>
        <w:lang w:val="en-AU"/>
      </w:rPr>
    </w:pPr>
    <w:r>
      <w:rPr>
        <w:noProof/>
        <w:lang w:val="en-AU" w:eastAsia="en-AU"/>
      </w:rPr>
      <w:drawing>
        <wp:anchor distT="0" distB="0" distL="114300" distR="114300" simplePos="0" relativeHeight="251660288" behindDoc="1" locked="0" layoutInCell="1" allowOverlap="1" wp14:anchorId="6AC99AE1" wp14:editId="7E096ED9">
          <wp:simplePos x="0" y="0"/>
          <wp:positionH relativeFrom="column">
            <wp:posOffset>5097338</wp:posOffset>
          </wp:positionH>
          <wp:positionV relativeFrom="paragraph">
            <wp:posOffset>-834417</wp:posOffset>
          </wp:positionV>
          <wp:extent cx="1691641" cy="8906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2D35C2" w14:paraId="02DA5C72"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481F1770" w14:textId="277D494D" w:rsidR="002D35C2" w:rsidRPr="00384E72" w:rsidRDefault="002D35C2" w:rsidP="002D35C2">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6BD3052B" w14:textId="77777777" w:rsidR="002D35C2" w:rsidRPr="00384E72" w:rsidRDefault="002D35C2" w:rsidP="002D35C2">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197A2887" w14:textId="77777777" w:rsidR="002D35C2" w:rsidRPr="00384E72" w:rsidRDefault="002D35C2" w:rsidP="002D35C2">
          <w:pPr>
            <w:pStyle w:val="CCYPTableTextInfo"/>
            <w:rPr>
              <w:color w:val="262626" w:themeColor="text1" w:themeTint="D9"/>
            </w:rPr>
          </w:pPr>
          <w:r w:rsidRPr="00532BDC">
            <w:rPr>
              <w:color w:val="262626" w:themeColor="text1" w:themeTint="D9"/>
            </w:rPr>
            <w:t>1300 782 978</w:t>
          </w:r>
        </w:p>
      </w:tc>
      <w:tc>
        <w:tcPr>
          <w:tcW w:w="141" w:type="dxa"/>
        </w:tcPr>
        <w:p w14:paraId="7E7177B7" w14:textId="77777777" w:rsidR="002D35C2" w:rsidRPr="00384E72" w:rsidRDefault="002D35C2" w:rsidP="002D35C2">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620A9BEB" w14:textId="77777777" w:rsidR="002D35C2" w:rsidRPr="00384E72" w:rsidRDefault="002D35C2" w:rsidP="002D35C2">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4C0C6AB3" w14:textId="77777777" w:rsidR="002D35C2" w:rsidRPr="00384E72" w:rsidRDefault="002D35C2" w:rsidP="002D35C2">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13663730" w14:textId="77777777" w:rsidR="002D35C2" w:rsidRPr="00384E72" w:rsidRDefault="002D35C2" w:rsidP="002D35C2">
          <w:pPr>
            <w:pStyle w:val="CCYPTableTextInfo"/>
            <w:rPr>
              <w:color w:val="262626" w:themeColor="text1" w:themeTint="D9"/>
            </w:rPr>
          </w:pPr>
          <w:r w:rsidRPr="00384E72">
            <w:rPr>
              <w:color w:val="262626" w:themeColor="text1" w:themeTint="D9"/>
            </w:rPr>
            <w:t>ccyp.vic.gov.au</w:t>
          </w:r>
        </w:p>
      </w:tc>
      <w:tc>
        <w:tcPr>
          <w:tcW w:w="142" w:type="dxa"/>
        </w:tcPr>
        <w:p w14:paraId="535FDDF7" w14:textId="77777777" w:rsidR="002D35C2" w:rsidRPr="00384E72" w:rsidRDefault="002D35C2" w:rsidP="002D35C2">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1FD3290B" w14:textId="68A1A722" w:rsidR="002D35C2" w:rsidRPr="00384E72" w:rsidRDefault="002D35C2" w:rsidP="002D35C2">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sidR="0075679A">
            <w:rPr>
              <w:color w:val="262626" w:themeColor="text1" w:themeTint="D9"/>
            </w:rPr>
            <w:t>29 November 2022</w:t>
          </w:r>
        </w:p>
      </w:tc>
    </w:tr>
  </w:tbl>
  <w:p w14:paraId="3556E8B9" w14:textId="77777777" w:rsidR="00F6222C" w:rsidRDefault="00FE231B">
    <w:pPr>
      <w:pStyle w:val="Footer"/>
    </w:pPr>
    <w:r>
      <w:rPr>
        <w:noProof/>
        <w:lang w:val="en-AU" w:eastAsia="en-AU"/>
      </w:rPr>
      <w:drawing>
        <wp:anchor distT="0" distB="0" distL="114300" distR="114300" simplePos="0" relativeHeight="251659264" behindDoc="1" locked="0" layoutInCell="1" allowOverlap="1" wp14:anchorId="13E3FCAC" wp14:editId="07AD0B47">
          <wp:simplePos x="0" y="0"/>
          <wp:positionH relativeFrom="column">
            <wp:posOffset>5080110</wp:posOffset>
          </wp:positionH>
          <wp:positionV relativeFrom="paragraph">
            <wp:posOffset>-859597</wp:posOffset>
          </wp:positionV>
          <wp:extent cx="1691641" cy="8906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670A" w14:textId="77777777" w:rsidR="00D43CE5" w:rsidRDefault="00D43CE5" w:rsidP="00A642F5">
      <w:pPr>
        <w:spacing w:before="0"/>
      </w:pPr>
      <w:r>
        <w:separator/>
      </w:r>
    </w:p>
  </w:footnote>
  <w:footnote w:type="continuationSeparator" w:id="0">
    <w:p w14:paraId="2A5BB9BC" w14:textId="77777777" w:rsidR="00D43CE5" w:rsidRDefault="00D43CE5" w:rsidP="00A642F5">
      <w:pPr>
        <w:spacing w:before="0"/>
      </w:pPr>
      <w:r>
        <w:continuationSeparator/>
      </w:r>
    </w:p>
  </w:footnote>
  <w:footnote w:type="continuationNotice" w:id="1">
    <w:p w14:paraId="2A530A7B" w14:textId="77777777" w:rsidR="00890BBD" w:rsidRDefault="00890BB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9193" w14:textId="77777777" w:rsidR="00890BBD" w:rsidRDefault="00890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1118" w14:textId="77777777" w:rsidR="00644A5A" w:rsidRDefault="00644A5A">
    <w:pPr>
      <w:pStyle w:val="Header"/>
    </w:pPr>
  </w:p>
  <w:p w14:paraId="3EBFC0D4" w14:textId="77777777" w:rsidR="00644A5A" w:rsidRDefault="00644A5A">
    <w:pPr>
      <w:pStyle w:val="Header"/>
    </w:pPr>
  </w:p>
  <w:p w14:paraId="5D554946" w14:textId="77777777" w:rsidR="00644A5A" w:rsidRDefault="00644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768E" w14:textId="77777777" w:rsidR="005B35B8" w:rsidRDefault="005B35B8" w:rsidP="005B35B8">
    <w:pPr>
      <w:pStyle w:val="CCYPTableHeader"/>
      <w:ind w:left="-425"/>
      <w:rPr>
        <w:sz w:val="44"/>
        <w:szCs w:val="40"/>
        <w:lang w:val="en-AU"/>
      </w:rPr>
    </w:pPr>
    <w:r w:rsidRPr="00CF6CCA">
      <w:rPr>
        <w:bCs/>
        <w:noProof/>
        <w:sz w:val="44"/>
        <w:szCs w:val="40"/>
        <w:lang w:val="en-AU" w:eastAsia="en-AU"/>
      </w:rPr>
      <mc:AlternateContent>
        <mc:Choice Requires="wps">
          <w:drawing>
            <wp:anchor distT="0" distB="0" distL="114300" distR="114300" simplePos="0" relativeHeight="251658241" behindDoc="1" locked="0" layoutInCell="1" allowOverlap="1" wp14:anchorId="7BEE1B4C" wp14:editId="4AEE6DB2">
              <wp:simplePos x="0" y="0"/>
              <wp:positionH relativeFrom="column">
                <wp:posOffset>-549910</wp:posOffset>
              </wp:positionH>
              <wp:positionV relativeFrom="paragraph">
                <wp:posOffset>-340360</wp:posOffset>
              </wp:positionV>
              <wp:extent cx="3829050" cy="1485900"/>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3829050" cy="1485900"/>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017C3" id="Round Single Corner Rectangle 3" o:spid="_x0000_s1026" style="position:absolute;margin-left:-43.3pt;margin-top:-26.8pt;width:301.5pt;height:11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9050,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" path="m,l3086100,v410320,,742950,332630,742950,742950l3829050,1485900,,1485900,,xe" fillcolor="#0081c6" stroked="f" strokeweight=".5pt">
              <v:stroke joinstyle="miter"/>
              <v:path arrowok="t" o:connecttype="custom" o:connectlocs="0,0;3086100,0;3829050,742950;3829050,1485900;0,1485900;0,0" o:connectangles="0,0,0,0,0,0"/>
            </v:shape>
          </w:pict>
        </mc:Fallback>
      </mc:AlternateContent>
    </w:r>
    <w:r w:rsidRPr="00CF6CCA">
      <w:rPr>
        <w:bCs/>
        <w:noProof/>
        <w:sz w:val="44"/>
        <w:szCs w:val="40"/>
        <w:lang w:val="en-AU" w:eastAsia="en-AU"/>
      </w:rPr>
      <mc:AlternateContent>
        <mc:Choice Requires="wps">
          <w:drawing>
            <wp:anchor distT="0" distB="0" distL="114300" distR="114300" simplePos="0" relativeHeight="251658240" behindDoc="1" locked="0" layoutInCell="1" allowOverlap="1" wp14:anchorId="4CCD5C35" wp14:editId="37F3310A">
              <wp:simplePos x="0" y="0"/>
              <wp:positionH relativeFrom="column">
                <wp:posOffset>2772410</wp:posOffset>
              </wp:positionH>
              <wp:positionV relativeFrom="paragraph">
                <wp:posOffset>-452755</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116A50"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D5C35" id="Round Single Corner Rectangle 1" o:spid="_x0000_s1026" style="position:absolute;left:0;text-align:left;margin-left:218.3pt;margin-top:-35.65pt;width:346.75pt;height:107.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23116A50" w14:textId="77777777" w:rsidR="007F4BE3" w:rsidRDefault="007F4BE3" w:rsidP="007F4BE3">
                    <w:pPr>
                      <w:jc w:val="center"/>
                    </w:pPr>
                  </w:p>
                </w:txbxContent>
              </v:textbox>
            </v:shape>
          </w:pict>
        </mc:Fallback>
      </mc:AlternateContent>
    </w:r>
    <w:r w:rsidR="00CF6CCA" w:rsidRPr="00CF6CCA">
      <w:rPr>
        <w:sz w:val="44"/>
        <w:szCs w:val="40"/>
        <w:lang w:val="en-AU"/>
      </w:rPr>
      <w:t>Information Sheet</w:t>
    </w:r>
    <w:r w:rsidR="00744D3D">
      <w:rPr>
        <w:sz w:val="44"/>
        <w:szCs w:val="40"/>
        <w:lang w:val="en-AU"/>
      </w:rPr>
      <w:t xml:space="preserve"> </w:t>
    </w:r>
    <w:r w:rsidR="003C7DFF">
      <w:rPr>
        <w:sz w:val="44"/>
        <w:szCs w:val="40"/>
        <w:lang w:val="en-AU"/>
      </w:rPr>
      <w:t>9</w:t>
    </w:r>
  </w:p>
  <w:p w14:paraId="4D041155" w14:textId="77777777" w:rsidR="00B724BB" w:rsidRPr="005B35B8" w:rsidRDefault="003C7DFF" w:rsidP="005B35B8">
    <w:pPr>
      <w:pStyle w:val="CCYPTableHeader"/>
      <w:ind w:left="-425"/>
      <w:rPr>
        <w:sz w:val="36"/>
        <w:szCs w:val="40"/>
        <w:lang w:val="en-AU"/>
      </w:rPr>
    </w:pPr>
    <w:r>
      <w:rPr>
        <w:sz w:val="36"/>
        <w:szCs w:val="40"/>
        <w:lang w:val="en-AU"/>
      </w:rPr>
      <w:t>Sexual misconduct</w:t>
    </w:r>
    <w:r w:rsidR="005B35B8">
      <w:rPr>
        <w:sz w:val="36"/>
        <w:szCs w:val="40"/>
        <w:lang w:val="en-AU"/>
      </w:rPr>
      <w:t xml:space="preserve"> </w:t>
    </w:r>
    <w:r w:rsidR="00FB2CD2">
      <w:rPr>
        <w:sz w:val="36"/>
        <w:szCs w:val="40"/>
        <w:lang w:val="en-AU"/>
      </w:rPr>
      <w:t>under</w:t>
    </w:r>
    <w:r w:rsidR="005B35B8">
      <w:rPr>
        <w:sz w:val="36"/>
        <w:szCs w:val="40"/>
        <w:lang w:val="en-AU"/>
      </w:rPr>
      <w:t xml:space="preserve"> the   </w:t>
    </w:r>
    <w:r w:rsidR="005B35B8">
      <w:rPr>
        <w:sz w:val="36"/>
        <w:szCs w:val="40"/>
        <w:lang w:val="en-AU"/>
      </w:rPr>
      <w:tab/>
    </w:r>
    <w:r w:rsidR="005B35B8">
      <w:rPr>
        <w:sz w:val="36"/>
        <w:szCs w:val="40"/>
        <w:lang w:val="en-AU"/>
      </w:rPr>
      <w:tab/>
    </w:r>
    <w:r w:rsidR="005B35B8">
      <w:rPr>
        <w:sz w:val="36"/>
        <w:szCs w:val="40"/>
        <w:lang w:val="en-AU"/>
      </w:rPr>
      <w:tab/>
    </w:r>
    <w:r w:rsidR="005B35B8">
      <w:rPr>
        <w:sz w:val="36"/>
        <w:szCs w:val="40"/>
        <w:lang w:val="en-AU"/>
      </w:rPr>
      <w:tab/>
    </w:r>
    <w:r w:rsidR="005B35B8">
      <w:rPr>
        <w:sz w:val="36"/>
        <w:szCs w:val="40"/>
        <w:lang w:val="en-AU"/>
      </w:rPr>
      <w:tab/>
    </w:r>
    <w:r w:rsidR="005B35B8">
      <w:rPr>
        <w:sz w:val="36"/>
        <w:szCs w:val="40"/>
        <w:lang w:val="en-AU"/>
      </w:rPr>
      <w:tab/>
      <w:t xml:space="preserve">      Reportable Conduct Scheme</w:t>
    </w:r>
    <w:r w:rsidR="005B35B8" w:rsidRPr="005B35B8">
      <w:rPr>
        <w:sz w:val="36"/>
        <w:szCs w:val="40"/>
        <w:lang w:val="en-AU"/>
      </w:rPr>
      <w:t xml:space="preserve">                                       </w:t>
    </w:r>
  </w:p>
  <w:p w14:paraId="3019CB5D" w14:textId="77777777" w:rsidR="00F6222C" w:rsidRDefault="007F4BE3" w:rsidP="007F4BE3">
    <w:pPr>
      <w:pStyle w:val="Header"/>
      <w:tabs>
        <w:tab w:val="clear" w:pos="4513"/>
        <w:tab w:val="clear" w:pos="9026"/>
        <w:tab w:val="left" w:pos="1540"/>
      </w:tabs>
      <w:rPr>
        <w:noProof/>
        <w:lang w:eastAsia="en-GB"/>
      </w:rPr>
    </w:pPr>
    <w:r>
      <w:rPr>
        <w:noProof/>
        <w:lang w:eastAsia="en-GB"/>
      </w:rPr>
      <w:tab/>
    </w:r>
    <w:r w:rsidR="00CF6CCA">
      <w:rPr>
        <w:noProof/>
        <w:lang w:eastAsia="en-GB"/>
      </w:rPr>
      <w:br/>
    </w:r>
  </w:p>
  <w:p w14:paraId="689B6E52" w14:textId="77777777" w:rsidR="00F6222C" w:rsidRDefault="00F6222C" w:rsidP="00F6222C">
    <w:pPr>
      <w:pStyle w:val="Header"/>
      <w:rPr>
        <w:noProof/>
        <w:lang w:eastAsia="en-GB"/>
      </w:rPr>
    </w:pPr>
  </w:p>
  <w:p w14:paraId="2DE44131" w14:textId="77777777"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22B"/>
    <w:multiLevelType w:val="hybridMultilevel"/>
    <w:tmpl w:val="97C62E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10575E"/>
    <w:multiLevelType w:val="hybridMultilevel"/>
    <w:tmpl w:val="F62C802C"/>
    <w:lvl w:ilvl="0" w:tplc="5FFCA3EE">
      <w:numFmt w:val="bullet"/>
      <w:lvlText w:val="•"/>
      <w:lvlJc w:val="left"/>
      <w:pPr>
        <w:ind w:left="1080" w:hanging="72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43B95"/>
    <w:multiLevelType w:val="hybridMultilevel"/>
    <w:tmpl w:val="24FC3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26D1F"/>
    <w:multiLevelType w:val="hybridMultilevel"/>
    <w:tmpl w:val="3FBC8A40"/>
    <w:lvl w:ilvl="0" w:tplc="84CAA964">
      <w:start w:val="1"/>
      <w:numFmt w:val="bullet"/>
      <w:lvlText w:val=""/>
      <w:lvlJc w:val="left"/>
      <w:pPr>
        <w:ind w:left="828"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290E3C2B"/>
    <w:multiLevelType w:val="hybridMultilevel"/>
    <w:tmpl w:val="0AD4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015343"/>
    <w:multiLevelType w:val="hybridMultilevel"/>
    <w:tmpl w:val="E11C8F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26BE3"/>
    <w:multiLevelType w:val="hybridMultilevel"/>
    <w:tmpl w:val="E0ACC7F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44884B64"/>
    <w:multiLevelType w:val="hybridMultilevel"/>
    <w:tmpl w:val="12C208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0075C7A"/>
    <w:multiLevelType w:val="hybridMultilevel"/>
    <w:tmpl w:val="FA0654D2"/>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9033B1"/>
    <w:multiLevelType w:val="hybridMultilevel"/>
    <w:tmpl w:val="7462730A"/>
    <w:lvl w:ilvl="0" w:tplc="0C090001">
      <w:start w:val="1"/>
      <w:numFmt w:val="bullet"/>
      <w:lvlText w:val=""/>
      <w:lvlJc w:val="left"/>
      <w:pPr>
        <w:ind w:left="2850" w:hanging="360"/>
      </w:pPr>
      <w:rPr>
        <w:rFonts w:ascii="Symbol" w:hAnsi="Symbol" w:hint="default"/>
      </w:rPr>
    </w:lvl>
    <w:lvl w:ilvl="1" w:tplc="0C090003" w:tentative="1">
      <w:start w:val="1"/>
      <w:numFmt w:val="bullet"/>
      <w:lvlText w:val="o"/>
      <w:lvlJc w:val="left"/>
      <w:pPr>
        <w:ind w:left="3570" w:hanging="360"/>
      </w:pPr>
      <w:rPr>
        <w:rFonts w:ascii="Courier New" w:hAnsi="Courier New" w:cs="Courier New" w:hint="default"/>
      </w:rPr>
    </w:lvl>
    <w:lvl w:ilvl="2" w:tplc="0C090005" w:tentative="1">
      <w:start w:val="1"/>
      <w:numFmt w:val="bullet"/>
      <w:lvlText w:val=""/>
      <w:lvlJc w:val="left"/>
      <w:pPr>
        <w:ind w:left="4290" w:hanging="360"/>
      </w:pPr>
      <w:rPr>
        <w:rFonts w:ascii="Wingdings" w:hAnsi="Wingdings" w:hint="default"/>
      </w:rPr>
    </w:lvl>
    <w:lvl w:ilvl="3" w:tplc="0C090001" w:tentative="1">
      <w:start w:val="1"/>
      <w:numFmt w:val="bullet"/>
      <w:lvlText w:val=""/>
      <w:lvlJc w:val="left"/>
      <w:pPr>
        <w:ind w:left="5010" w:hanging="360"/>
      </w:pPr>
      <w:rPr>
        <w:rFonts w:ascii="Symbol" w:hAnsi="Symbol" w:hint="default"/>
      </w:rPr>
    </w:lvl>
    <w:lvl w:ilvl="4" w:tplc="0C090003" w:tentative="1">
      <w:start w:val="1"/>
      <w:numFmt w:val="bullet"/>
      <w:lvlText w:val="o"/>
      <w:lvlJc w:val="left"/>
      <w:pPr>
        <w:ind w:left="5730" w:hanging="360"/>
      </w:pPr>
      <w:rPr>
        <w:rFonts w:ascii="Courier New" w:hAnsi="Courier New" w:cs="Courier New" w:hint="default"/>
      </w:rPr>
    </w:lvl>
    <w:lvl w:ilvl="5" w:tplc="0C090005" w:tentative="1">
      <w:start w:val="1"/>
      <w:numFmt w:val="bullet"/>
      <w:lvlText w:val=""/>
      <w:lvlJc w:val="left"/>
      <w:pPr>
        <w:ind w:left="6450" w:hanging="360"/>
      </w:pPr>
      <w:rPr>
        <w:rFonts w:ascii="Wingdings" w:hAnsi="Wingdings" w:hint="default"/>
      </w:rPr>
    </w:lvl>
    <w:lvl w:ilvl="6" w:tplc="0C090001" w:tentative="1">
      <w:start w:val="1"/>
      <w:numFmt w:val="bullet"/>
      <w:lvlText w:val=""/>
      <w:lvlJc w:val="left"/>
      <w:pPr>
        <w:ind w:left="7170" w:hanging="360"/>
      </w:pPr>
      <w:rPr>
        <w:rFonts w:ascii="Symbol" w:hAnsi="Symbol" w:hint="default"/>
      </w:rPr>
    </w:lvl>
    <w:lvl w:ilvl="7" w:tplc="0C090003" w:tentative="1">
      <w:start w:val="1"/>
      <w:numFmt w:val="bullet"/>
      <w:lvlText w:val="o"/>
      <w:lvlJc w:val="left"/>
      <w:pPr>
        <w:ind w:left="7890" w:hanging="360"/>
      </w:pPr>
      <w:rPr>
        <w:rFonts w:ascii="Courier New" w:hAnsi="Courier New" w:cs="Courier New" w:hint="default"/>
      </w:rPr>
    </w:lvl>
    <w:lvl w:ilvl="8" w:tplc="0C090005" w:tentative="1">
      <w:start w:val="1"/>
      <w:numFmt w:val="bullet"/>
      <w:lvlText w:val=""/>
      <w:lvlJc w:val="left"/>
      <w:pPr>
        <w:ind w:left="8610" w:hanging="360"/>
      </w:pPr>
      <w:rPr>
        <w:rFonts w:ascii="Wingdings" w:hAnsi="Wingdings" w:hint="default"/>
      </w:rPr>
    </w:lvl>
  </w:abstractNum>
  <w:abstractNum w:abstractNumId="14" w15:restartNumberingAfterBreak="0">
    <w:nsid w:val="5E3B4D4C"/>
    <w:multiLevelType w:val="hybridMultilevel"/>
    <w:tmpl w:val="635ACA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4B11812"/>
    <w:multiLevelType w:val="hybridMultilevel"/>
    <w:tmpl w:val="461E6752"/>
    <w:lvl w:ilvl="0" w:tplc="5FFCA3EE">
      <w:numFmt w:val="bullet"/>
      <w:lvlText w:val="•"/>
      <w:lvlJc w:val="left"/>
      <w:pPr>
        <w:ind w:left="1140" w:hanging="720"/>
      </w:pPr>
      <w:rPr>
        <w:rFonts w:ascii="Arial" w:eastAsia="Times New Roman" w:hAnsi="Arial" w:cs="Arial" w:hint="default"/>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662900AE"/>
    <w:multiLevelType w:val="hybridMultilevel"/>
    <w:tmpl w:val="7C52F2B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7" w15:restartNumberingAfterBreak="0">
    <w:nsid w:val="675F6C7C"/>
    <w:multiLevelType w:val="hybridMultilevel"/>
    <w:tmpl w:val="5A0845FE"/>
    <w:lvl w:ilvl="0" w:tplc="C88A0FCC">
      <w:start w:val="1"/>
      <w:numFmt w:val="bullet"/>
      <w:lvlText w:val=""/>
      <w:lvlJc w:val="left"/>
      <w:pPr>
        <w:ind w:left="780" w:hanging="360"/>
      </w:pPr>
      <w:rPr>
        <w:rFonts w:ascii="Symbol" w:hAnsi="Symbol" w:hint="default"/>
        <w:color w:val="0070C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6BDC1F3E"/>
    <w:multiLevelType w:val="hybridMultilevel"/>
    <w:tmpl w:val="4386DB7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0"/>
  </w:num>
  <w:num w:numId="6">
    <w:abstractNumId w:val="5"/>
  </w:num>
  <w:num w:numId="7">
    <w:abstractNumId w:val="2"/>
  </w:num>
  <w:num w:numId="8">
    <w:abstractNumId w:val="13"/>
  </w:num>
  <w:num w:numId="9">
    <w:abstractNumId w:val="15"/>
  </w:num>
  <w:num w:numId="10">
    <w:abstractNumId w:val="1"/>
  </w:num>
  <w:num w:numId="11">
    <w:abstractNumId w:val="7"/>
  </w:num>
  <w:num w:numId="12">
    <w:abstractNumId w:val="16"/>
  </w:num>
  <w:num w:numId="13">
    <w:abstractNumId w:val="6"/>
  </w:num>
  <w:num w:numId="14">
    <w:abstractNumId w:val="18"/>
  </w:num>
  <w:num w:numId="15">
    <w:abstractNumId w:val="10"/>
  </w:num>
  <w:num w:numId="16">
    <w:abstractNumId w:val="12"/>
  </w:num>
  <w:num w:numId="17">
    <w:abstractNumId w:val="17"/>
  </w:num>
  <w:num w:numId="18">
    <w:abstractNumId w:val="11"/>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90"/>
  <w:displayHorizontalDrawingGridEvery w:val="2"/>
  <w:displayVerticalDrawingGridEvery w:val="2"/>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CCA"/>
    <w:rsid w:val="0001172E"/>
    <w:rsid w:val="00011CFF"/>
    <w:rsid w:val="00023D07"/>
    <w:rsid w:val="00024762"/>
    <w:rsid w:val="00025709"/>
    <w:rsid w:val="0003039E"/>
    <w:rsid w:val="00030964"/>
    <w:rsid w:val="0003097E"/>
    <w:rsid w:val="0004419E"/>
    <w:rsid w:val="00047927"/>
    <w:rsid w:val="00047E4F"/>
    <w:rsid w:val="0005323D"/>
    <w:rsid w:val="0006065C"/>
    <w:rsid w:val="00070DDC"/>
    <w:rsid w:val="00086943"/>
    <w:rsid w:val="0009143D"/>
    <w:rsid w:val="00093D0D"/>
    <w:rsid w:val="00095C7A"/>
    <w:rsid w:val="00097F10"/>
    <w:rsid w:val="000B02F4"/>
    <w:rsid w:val="000C0969"/>
    <w:rsid w:val="000E045D"/>
    <w:rsid w:val="000E1DEC"/>
    <w:rsid w:val="000E493C"/>
    <w:rsid w:val="000F1467"/>
    <w:rsid w:val="000F454A"/>
    <w:rsid w:val="000F54CB"/>
    <w:rsid w:val="00120DBE"/>
    <w:rsid w:val="00122EDC"/>
    <w:rsid w:val="00144A40"/>
    <w:rsid w:val="00160B8F"/>
    <w:rsid w:val="00180471"/>
    <w:rsid w:val="001814CC"/>
    <w:rsid w:val="0018606C"/>
    <w:rsid w:val="001959B2"/>
    <w:rsid w:val="001A5627"/>
    <w:rsid w:val="001A575C"/>
    <w:rsid w:val="001A6719"/>
    <w:rsid w:val="001B045C"/>
    <w:rsid w:val="001B1510"/>
    <w:rsid w:val="001B35E7"/>
    <w:rsid w:val="001B42F0"/>
    <w:rsid w:val="001B6B00"/>
    <w:rsid w:val="001C1B1D"/>
    <w:rsid w:val="001C302E"/>
    <w:rsid w:val="001D2B9B"/>
    <w:rsid w:val="001E39B0"/>
    <w:rsid w:val="001E54BA"/>
    <w:rsid w:val="001E63A5"/>
    <w:rsid w:val="001F4C50"/>
    <w:rsid w:val="00200018"/>
    <w:rsid w:val="0020404E"/>
    <w:rsid w:val="00210650"/>
    <w:rsid w:val="002108B7"/>
    <w:rsid w:val="00210AAA"/>
    <w:rsid w:val="00227673"/>
    <w:rsid w:val="00227D5E"/>
    <w:rsid w:val="002312F9"/>
    <w:rsid w:val="002414CF"/>
    <w:rsid w:val="00241AEC"/>
    <w:rsid w:val="002501B1"/>
    <w:rsid w:val="0025172B"/>
    <w:rsid w:val="00266B85"/>
    <w:rsid w:val="00267DE3"/>
    <w:rsid w:val="00272B26"/>
    <w:rsid w:val="00273D02"/>
    <w:rsid w:val="00296EA6"/>
    <w:rsid w:val="002A0706"/>
    <w:rsid w:val="002B1932"/>
    <w:rsid w:val="002C1449"/>
    <w:rsid w:val="002C19CD"/>
    <w:rsid w:val="002D35C2"/>
    <w:rsid w:val="002E33CB"/>
    <w:rsid w:val="002F6457"/>
    <w:rsid w:val="00303539"/>
    <w:rsid w:val="00331034"/>
    <w:rsid w:val="003465AA"/>
    <w:rsid w:val="003479F1"/>
    <w:rsid w:val="00352689"/>
    <w:rsid w:val="003535E8"/>
    <w:rsid w:val="0035688F"/>
    <w:rsid w:val="00362EC7"/>
    <w:rsid w:val="0038575B"/>
    <w:rsid w:val="00385BB1"/>
    <w:rsid w:val="00387659"/>
    <w:rsid w:val="00397D22"/>
    <w:rsid w:val="003A4593"/>
    <w:rsid w:val="003C7DFF"/>
    <w:rsid w:val="003E23A0"/>
    <w:rsid w:val="003E3140"/>
    <w:rsid w:val="003E53B5"/>
    <w:rsid w:val="003E6718"/>
    <w:rsid w:val="003F24C5"/>
    <w:rsid w:val="003F6924"/>
    <w:rsid w:val="00404FDD"/>
    <w:rsid w:val="00410F50"/>
    <w:rsid w:val="00423FE5"/>
    <w:rsid w:val="00433D5B"/>
    <w:rsid w:val="004368DC"/>
    <w:rsid w:val="00447F29"/>
    <w:rsid w:val="00456792"/>
    <w:rsid w:val="00460D24"/>
    <w:rsid w:val="00461566"/>
    <w:rsid w:val="00464DB1"/>
    <w:rsid w:val="00465A1D"/>
    <w:rsid w:val="004738E2"/>
    <w:rsid w:val="00481CEC"/>
    <w:rsid w:val="00483B1A"/>
    <w:rsid w:val="004852FC"/>
    <w:rsid w:val="00491898"/>
    <w:rsid w:val="0049516D"/>
    <w:rsid w:val="00495F85"/>
    <w:rsid w:val="004B1EEA"/>
    <w:rsid w:val="004C6F79"/>
    <w:rsid w:val="004C7458"/>
    <w:rsid w:val="004C7DD5"/>
    <w:rsid w:val="005076BE"/>
    <w:rsid w:val="00531E76"/>
    <w:rsid w:val="00570DBD"/>
    <w:rsid w:val="00571223"/>
    <w:rsid w:val="00574E7F"/>
    <w:rsid w:val="00576D79"/>
    <w:rsid w:val="00580147"/>
    <w:rsid w:val="005815BB"/>
    <w:rsid w:val="005A3B1C"/>
    <w:rsid w:val="005A48D8"/>
    <w:rsid w:val="005A4DF7"/>
    <w:rsid w:val="005B3484"/>
    <w:rsid w:val="005B35B8"/>
    <w:rsid w:val="005B410A"/>
    <w:rsid w:val="005C1D00"/>
    <w:rsid w:val="005D254E"/>
    <w:rsid w:val="005E13AA"/>
    <w:rsid w:val="005F0296"/>
    <w:rsid w:val="005F628B"/>
    <w:rsid w:val="005F77DB"/>
    <w:rsid w:val="006165E0"/>
    <w:rsid w:val="00624E78"/>
    <w:rsid w:val="00637F4D"/>
    <w:rsid w:val="00644A5A"/>
    <w:rsid w:val="0066766C"/>
    <w:rsid w:val="006700E7"/>
    <w:rsid w:val="00674767"/>
    <w:rsid w:val="00686D9A"/>
    <w:rsid w:val="006A77A7"/>
    <w:rsid w:val="006B3081"/>
    <w:rsid w:val="006D3519"/>
    <w:rsid w:val="006D55D3"/>
    <w:rsid w:val="006E24E3"/>
    <w:rsid w:val="006F3397"/>
    <w:rsid w:val="006F550B"/>
    <w:rsid w:val="007009B4"/>
    <w:rsid w:val="007048FB"/>
    <w:rsid w:val="00731E97"/>
    <w:rsid w:val="00732424"/>
    <w:rsid w:val="00744D3D"/>
    <w:rsid w:val="00746D38"/>
    <w:rsid w:val="007552E1"/>
    <w:rsid w:val="0075679A"/>
    <w:rsid w:val="00765B37"/>
    <w:rsid w:val="007703AC"/>
    <w:rsid w:val="00795FBF"/>
    <w:rsid w:val="0079685D"/>
    <w:rsid w:val="007A341D"/>
    <w:rsid w:val="007A56BB"/>
    <w:rsid w:val="007B0E2A"/>
    <w:rsid w:val="007B74A6"/>
    <w:rsid w:val="007B74CB"/>
    <w:rsid w:val="007C749B"/>
    <w:rsid w:val="007E1710"/>
    <w:rsid w:val="007F3F80"/>
    <w:rsid w:val="007F4BE3"/>
    <w:rsid w:val="007F54DF"/>
    <w:rsid w:val="008139DC"/>
    <w:rsid w:val="00825C18"/>
    <w:rsid w:val="00840A47"/>
    <w:rsid w:val="0085657B"/>
    <w:rsid w:val="008607E0"/>
    <w:rsid w:val="00865844"/>
    <w:rsid w:val="00871221"/>
    <w:rsid w:val="00880359"/>
    <w:rsid w:val="00884755"/>
    <w:rsid w:val="00885095"/>
    <w:rsid w:val="00890BBD"/>
    <w:rsid w:val="00890D84"/>
    <w:rsid w:val="00892C9E"/>
    <w:rsid w:val="0089328A"/>
    <w:rsid w:val="00894DA1"/>
    <w:rsid w:val="008A2546"/>
    <w:rsid w:val="008B37F1"/>
    <w:rsid w:val="008C1434"/>
    <w:rsid w:val="008D62FA"/>
    <w:rsid w:val="008E2B07"/>
    <w:rsid w:val="008E63A6"/>
    <w:rsid w:val="008F451E"/>
    <w:rsid w:val="00905F1A"/>
    <w:rsid w:val="00913E98"/>
    <w:rsid w:val="0091660F"/>
    <w:rsid w:val="0092295F"/>
    <w:rsid w:val="00940906"/>
    <w:rsid w:val="00952D9E"/>
    <w:rsid w:val="009535F7"/>
    <w:rsid w:val="00955B31"/>
    <w:rsid w:val="00961E77"/>
    <w:rsid w:val="00975734"/>
    <w:rsid w:val="0098323A"/>
    <w:rsid w:val="00990541"/>
    <w:rsid w:val="00996412"/>
    <w:rsid w:val="00997284"/>
    <w:rsid w:val="009B01AC"/>
    <w:rsid w:val="009C1AE8"/>
    <w:rsid w:val="009D1045"/>
    <w:rsid w:val="009E055B"/>
    <w:rsid w:val="009E4012"/>
    <w:rsid w:val="009E4907"/>
    <w:rsid w:val="009F2561"/>
    <w:rsid w:val="009F600D"/>
    <w:rsid w:val="00A021FE"/>
    <w:rsid w:val="00A176AB"/>
    <w:rsid w:val="00A2308E"/>
    <w:rsid w:val="00A33B8F"/>
    <w:rsid w:val="00A35C81"/>
    <w:rsid w:val="00A46BC7"/>
    <w:rsid w:val="00A642F5"/>
    <w:rsid w:val="00A74E9C"/>
    <w:rsid w:val="00A823B6"/>
    <w:rsid w:val="00A82E5F"/>
    <w:rsid w:val="00AC1D54"/>
    <w:rsid w:val="00AC4580"/>
    <w:rsid w:val="00B071A3"/>
    <w:rsid w:val="00B5241A"/>
    <w:rsid w:val="00B52F52"/>
    <w:rsid w:val="00B62BBA"/>
    <w:rsid w:val="00B71A6E"/>
    <w:rsid w:val="00B724BB"/>
    <w:rsid w:val="00B739D1"/>
    <w:rsid w:val="00B8547E"/>
    <w:rsid w:val="00B93C0A"/>
    <w:rsid w:val="00BA083E"/>
    <w:rsid w:val="00BA2260"/>
    <w:rsid w:val="00BA7C7A"/>
    <w:rsid w:val="00BB4E2A"/>
    <w:rsid w:val="00BB629C"/>
    <w:rsid w:val="00BC4095"/>
    <w:rsid w:val="00BD6B34"/>
    <w:rsid w:val="00BE3817"/>
    <w:rsid w:val="00BE54A6"/>
    <w:rsid w:val="00BE7C5D"/>
    <w:rsid w:val="00BF0741"/>
    <w:rsid w:val="00BF3B00"/>
    <w:rsid w:val="00BF4740"/>
    <w:rsid w:val="00C01F27"/>
    <w:rsid w:val="00C069E2"/>
    <w:rsid w:val="00C10F03"/>
    <w:rsid w:val="00C13FA4"/>
    <w:rsid w:val="00C16800"/>
    <w:rsid w:val="00C2680D"/>
    <w:rsid w:val="00C34563"/>
    <w:rsid w:val="00C432CA"/>
    <w:rsid w:val="00C60062"/>
    <w:rsid w:val="00C74155"/>
    <w:rsid w:val="00C74856"/>
    <w:rsid w:val="00C74A32"/>
    <w:rsid w:val="00C80D26"/>
    <w:rsid w:val="00C90D71"/>
    <w:rsid w:val="00C92AC1"/>
    <w:rsid w:val="00C942A0"/>
    <w:rsid w:val="00C97C03"/>
    <w:rsid w:val="00CA104D"/>
    <w:rsid w:val="00CA25EF"/>
    <w:rsid w:val="00CA6E04"/>
    <w:rsid w:val="00CB6CBD"/>
    <w:rsid w:val="00CC3554"/>
    <w:rsid w:val="00CD7F75"/>
    <w:rsid w:val="00CE283C"/>
    <w:rsid w:val="00CF6CCA"/>
    <w:rsid w:val="00CF70E1"/>
    <w:rsid w:val="00D05902"/>
    <w:rsid w:val="00D11B0D"/>
    <w:rsid w:val="00D1728B"/>
    <w:rsid w:val="00D32212"/>
    <w:rsid w:val="00D41217"/>
    <w:rsid w:val="00D43CE5"/>
    <w:rsid w:val="00D615D0"/>
    <w:rsid w:val="00D70390"/>
    <w:rsid w:val="00D72E43"/>
    <w:rsid w:val="00D76982"/>
    <w:rsid w:val="00D80BAC"/>
    <w:rsid w:val="00D86EF5"/>
    <w:rsid w:val="00DA3BB6"/>
    <w:rsid w:val="00DB01C6"/>
    <w:rsid w:val="00DB29DD"/>
    <w:rsid w:val="00DB2CFB"/>
    <w:rsid w:val="00DB4033"/>
    <w:rsid w:val="00DB4C81"/>
    <w:rsid w:val="00DB5008"/>
    <w:rsid w:val="00DB76B4"/>
    <w:rsid w:val="00DE13A7"/>
    <w:rsid w:val="00DE52FD"/>
    <w:rsid w:val="00DF7586"/>
    <w:rsid w:val="00E023EE"/>
    <w:rsid w:val="00E02F93"/>
    <w:rsid w:val="00E0566A"/>
    <w:rsid w:val="00E11D1F"/>
    <w:rsid w:val="00E1348A"/>
    <w:rsid w:val="00E144F7"/>
    <w:rsid w:val="00E150C2"/>
    <w:rsid w:val="00E27720"/>
    <w:rsid w:val="00E33E92"/>
    <w:rsid w:val="00E3575D"/>
    <w:rsid w:val="00E41A3F"/>
    <w:rsid w:val="00E41D99"/>
    <w:rsid w:val="00E475FB"/>
    <w:rsid w:val="00E50B5C"/>
    <w:rsid w:val="00E52CB2"/>
    <w:rsid w:val="00E56B4A"/>
    <w:rsid w:val="00E62A5B"/>
    <w:rsid w:val="00E72499"/>
    <w:rsid w:val="00E81AAF"/>
    <w:rsid w:val="00E932CA"/>
    <w:rsid w:val="00EA0D8B"/>
    <w:rsid w:val="00EA297F"/>
    <w:rsid w:val="00EA396E"/>
    <w:rsid w:val="00EB4BBB"/>
    <w:rsid w:val="00EC4F65"/>
    <w:rsid w:val="00ED1F37"/>
    <w:rsid w:val="00ED63C0"/>
    <w:rsid w:val="00EE4BE3"/>
    <w:rsid w:val="00EE6281"/>
    <w:rsid w:val="00EE7FE3"/>
    <w:rsid w:val="00F06ABF"/>
    <w:rsid w:val="00F147B9"/>
    <w:rsid w:val="00F31312"/>
    <w:rsid w:val="00F37718"/>
    <w:rsid w:val="00F445D3"/>
    <w:rsid w:val="00F51030"/>
    <w:rsid w:val="00F6222C"/>
    <w:rsid w:val="00F6443D"/>
    <w:rsid w:val="00F70196"/>
    <w:rsid w:val="00F702E4"/>
    <w:rsid w:val="00F749C0"/>
    <w:rsid w:val="00F76CB4"/>
    <w:rsid w:val="00F81975"/>
    <w:rsid w:val="00F92D44"/>
    <w:rsid w:val="00F943B3"/>
    <w:rsid w:val="00F946AB"/>
    <w:rsid w:val="00F965AD"/>
    <w:rsid w:val="00FA7F6F"/>
    <w:rsid w:val="00FB2CD2"/>
    <w:rsid w:val="00FC0760"/>
    <w:rsid w:val="00FD33CC"/>
    <w:rsid w:val="00FE231B"/>
    <w:rsid w:val="00FE3B42"/>
    <w:rsid w:val="00FF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39DF0A08"/>
  <w14:defaultImageDpi w14:val="0"/>
  <w15:docId w15:val="{BBE5C592-3B77-4F58-B309-DCA4AFE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CC"/>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3E53B5"/>
    <w:pPr>
      <w:keepNext/>
      <w:keepLines/>
      <w:spacing w:before="200"/>
      <w:outlineLvl w:val="4"/>
    </w:pPr>
    <w:rPr>
      <w:rFonts w:asciiTheme="majorHAnsi" w:eastAsiaTheme="majorEastAsia" w:hAnsiTheme="majorHAnsi" w:cstheme="majorBidi"/>
      <w:color w:val="0040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
      </w:numPr>
    </w:pPr>
  </w:style>
  <w:style w:type="paragraph" w:customStyle="1" w:styleId="CCYPBulletsIndent">
    <w:name w:val="CCYP Bullets Indent"/>
    <w:basedOn w:val="CCYPBullets"/>
    <w:qFormat/>
    <w:rsid w:val="009E4012"/>
    <w:pPr>
      <w:numPr>
        <w:numId w:val="4"/>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2"/>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1"/>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List Paragraph1,List Paragraph11"/>
    <w:basedOn w:val="Normal"/>
    <w:uiPriority w:val="34"/>
    <w:qFormat/>
    <w:rsid w:val="001C302E"/>
    <w:pPr>
      <w:ind w:left="720"/>
      <w:contextualSpacing/>
    </w:pPr>
  </w:style>
  <w:style w:type="character" w:styleId="CommentReference">
    <w:name w:val="annotation reference"/>
    <w:basedOn w:val="DefaultParagraphFont"/>
    <w:uiPriority w:val="99"/>
    <w:semiHidden/>
    <w:unhideWhenUsed/>
    <w:rsid w:val="00686D9A"/>
    <w:rPr>
      <w:sz w:val="16"/>
      <w:szCs w:val="16"/>
    </w:rPr>
  </w:style>
  <w:style w:type="paragraph" w:styleId="CommentText">
    <w:name w:val="annotation text"/>
    <w:basedOn w:val="Normal"/>
    <w:link w:val="CommentTextChar"/>
    <w:uiPriority w:val="99"/>
    <w:semiHidden/>
    <w:unhideWhenUsed/>
    <w:rsid w:val="00686D9A"/>
    <w:rPr>
      <w:sz w:val="20"/>
      <w:szCs w:val="20"/>
    </w:rPr>
  </w:style>
  <w:style w:type="character" w:customStyle="1" w:styleId="CommentTextChar">
    <w:name w:val="Comment Text Char"/>
    <w:basedOn w:val="DefaultParagraphFont"/>
    <w:link w:val="CommentText"/>
    <w:uiPriority w:val="99"/>
    <w:semiHidden/>
    <w:rsid w:val="00686D9A"/>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86D9A"/>
    <w:rPr>
      <w:b/>
      <w:bCs/>
    </w:rPr>
  </w:style>
  <w:style w:type="character" w:customStyle="1" w:styleId="CommentSubjectChar">
    <w:name w:val="Comment Subject Char"/>
    <w:basedOn w:val="CommentTextChar"/>
    <w:link w:val="CommentSubject"/>
    <w:uiPriority w:val="99"/>
    <w:semiHidden/>
    <w:rsid w:val="00686D9A"/>
    <w:rPr>
      <w:rFonts w:ascii="Arial" w:hAnsi="Arial" w:cs="Times New Roman"/>
      <w:b/>
      <w:bCs/>
      <w:color w:val="000000" w:themeColor="text1"/>
      <w:sz w:val="20"/>
      <w:szCs w:val="20"/>
    </w:rPr>
  </w:style>
  <w:style w:type="paragraph" w:styleId="FootnoteText">
    <w:name w:val="footnote text"/>
    <w:basedOn w:val="Normal"/>
    <w:link w:val="FootnoteTextChar"/>
    <w:uiPriority w:val="99"/>
    <w:semiHidden/>
    <w:unhideWhenUsed/>
    <w:rsid w:val="0005323D"/>
    <w:pPr>
      <w:spacing w:before="0"/>
    </w:pPr>
    <w:rPr>
      <w:sz w:val="20"/>
      <w:szCs w:val="20"/>
    </w:rPr>
  </w:style>
  <w:style w:type="character" w:customStyle="1" w:styleId="FootnoteTextChar">
    <w:name w:val="Footnote Text Char"/>
    <w:basedOn w:val="DefaultParagraphFont"/>
    <w:link w:val="FootnoteText"/>
    <w:uiPriority w:val="99"/>
    <w:semiHidden/>
    <w:rsid w:val="0005323D"/>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05323D"/>
    <w:rPr>
      <w:vertAlign w:val="superscript"/>
    </w:rPr>
  </w:style>
  <w:style w:type="paragraph" w:styleId="Revision">
    <w:name w:val="Revision"/>
    <w:hidden/>
    <w:uiPriority w:val="99"/>
    <w:semiHidden/>
    <w:rsid w:val="0005323D"/>
    <w:rPr>
      <w:rFonts w:ascii="Arial" w:hAnsi="Arial" w:cs="Times New Roman"/>
      <w:color w:val="000000" w:themeColor="text1"/>
      <w:sz w:val="18"/>
    </w:rPr>
  </w:style>
  <w:style w:type="character" w:customStyle="1" w:styleId="Heading5Char">
    <w:name w:val="Heading 5 Char"/>
    <w:basedOn w:val="DefaultParagraphFont"/>
    <w:link w:val="Heading5"/>
    <w:uiPriority w:val="9"/>
    <w:rsid w:val="003E53B5"/>
    <w:rPr>
      <w:rFonts w:asciiTheme="majorHAnsi" w:eastAsiaTheme="majorEastAsia" w:hAnsiTheme="majorHAnsi" w:cstheme="majorBidi"/>
      <w:color w:val="004062" w:themeColor="accent1" w:themeShade="7F"/>
      <w:sz w:val="18"/>
    </w:rPr>
  </w:style>
  <w:style w:type="paragraph" w:customStyle="1" w:styleId="BulletsIndent">
    <w:name w:val="Bullets Indent"/>
    <w:basedOn w:val="Normal"/>
    <w:uiPriority w:val="3"/>
    <w:qFormat/>
    <w:rsid w:val="003479F1"/>
    <w:pPr>
      <w:spacing w:before="40" w:after="40"/>
      <w:ind w:left="720" w:hanging="360"/>
    </w:pPr>
    <w:rPr>
      <w:rFonts w:cstheme="minorHAnsi"/>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layservice.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tact@ccyp.vic.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8604F1-2398-4FDC-82D2-91DC3055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2</TotalTime>
  <Pages>4</Pages>
  <Words>1370</Words>
  <Characters>7305</Characters>
  <Application>Microsoft Office Word</Application>
  <DocSecurity>0</DocSecurity>
  <Lines>115</Lines>
  <Paragraphs>63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sgra0201</dc:creator>
  <cp:lastModifiedBy>Emma Choy (CCYP)</cp:lastModifiedBy>
  <cp:revision>3</cp:revision>
  <cp:lastPrinted>2022-11-29T04:15:00Z</cp:lastPrinted>
  <dcterms:created xsi:type="dcterms:W3CDTF">2022-11-29T04:15:00Z</dcterms:created>
  <dcterms:modified xsi:type="dcterms:W3CDTF">2022-11-29T04:15:00Z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2022-10-24T05:58:23Z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c167713f-a9c0-4691-a411-5651da92af66</vt:lpwstr>
  </property>
  <property fmtid="{D5CDD505-2E9C-101B-9397-08002B2CF9AE}" pid="8" name="MSIP_Label_efdf5488-3066-4b6c-8fea-9472b8a1f34c_ContentBits">
    <vt:lpwstr>0</vt:lpwstr>
  </property>
</Properties>
</file>